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ПРОЕКТ</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Администрация </w:t>
      </w:r>
      <w:proofErr w:type="spellStart"/>
      <w:r w:rsidRPr="00710A7E">
        <w:rPr>
          <w:rFonts w:ascii="Times New Roman" w:hAnsi="Times New Roman"/>
          <w:b/>
          <w:sz w:val="28"/>
          <w:szCs w:val="28"/>
        </w:rPr>
        <w:t>Воронцовского</w:t>
      </w:r>
      <w:proofErr w:type="spellEnd"/>
      <w:r w:rsidRPr="00710A7E">
        <w:rPr>
          <w:rFonts w:ascii="Times New Roman" w:hAnsi="Times New Roman"/>
          <w:b/>
          <w:sz w:val="28"/>
          <w:szCs w:val="28"/>
        </w:rPr>
        <w:t xml:space="preserve"> сельского поселения</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 Павловского муниципального района </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Воронежской области</w:t>
      </w:r>
    </w:p>
    <w:p w:rsidR="008803AF" w:rsidRPr="00710A7E" w:rsidRDefault="008803AF" w:rsidP="008803AF">
      <w:pPr>
        <w:jc w:val="center"/>
        <w:rPr>
          <w:rFonts w:ascii="Times New Roman" w:hAnsi="Times New Roman"/>
          <w:b/>
          <w:bCs/>
        </w:rPr>
      </w:pPr>
    </w:p>
    <w:p w:rsidR="008803AF" w:rsidRPr="00710A7E" w:rsidRDefault="008803AF" w:rsidP="008803AF">
      <w:pPr>
        <w:keepNext/>
        <w:autoSpaceDE w:val="0"/>
        <w:autoSpaceDN w:val="0"/>
        <w:jc w:val="center"/>
        <w:outlineLvl w:val="1"/>
        <w:rPr>
          <w:rFonts w:ascii="Times New Roman" w:hAnsi="Times New Roman"/>
          <w:b/>
          <w:bCs/>
          <w:sz w:val="32"/>
          <w:szCs w:val="32"/>
        </w:rPr>
      </w:pPr>
      <w:r w:rsidRPr="00710A7E">
        <w:rPr>
          <w:rFonts w:ascii="Times New Roman" w:hAnsi="Times New Roman"/>
          <w:b/>
          <w:bCs/>
          <w:sz w:val="32"/>
          <w:szCs w:val="32"/>
        </w:rPr>
        <w:t>ПОСТАНОВЛЕНИЕ</w:t>
      </w:r>
    </w:p>
    <w:p w:rsidR="008803AF" w:rsidRPr="00710A7E" w:rsidRDefault="008803AF" w:rsidP="008803AF">
      <w:pPr>
        <w:pBdr>
          <w:bottom w:val="thinThickSmallGap" w:sz="24" w:space="1" w:color="auto"/>
        </w:pBdr>
        <w:rPr>
          <w:rFonts w:ascii="Times New Roman" w:hAnsi="Times New Roman"/>
          <w:b/>
        </w:rPr>
      </w:pPr>
    </w:p>
    <w:p w:rsidR="008803AF" w:rsidRPr="00710A7E" w:rsidRDefault="008803AF" w:rsidP="008803AF">
      <w:pPr>
        <w:pBdr>
          <w:bottom w:val="single" w:sz="4" w:space="1" w:color="auto"/>
        </w:pBdr>
        <w:ind w:right="4534" w:firstLine="2835"/>
        <w:rPr>
          <w:rFonts w:ascii="Times New Roman" w:hAnsi="Times New Roman"/>
          <w:sz w:val="16"/>
          <w:szCs w:val="16"/>
        </w:rPr>
      </w:pPr>
    </w:p>
    <w:p w:rsidR="008803AF" w:rsidRPr="00710A7E" w:rsidRDefault="008803AF" w:rsidP="008803AF">
      <w:pPr>
        <w:pBdr>
          <w:bottom w:val="single" w:sz="4" w:space="1" w:color="auto"/>
        </w:pBdr>
        <w:ind w:right="4534"/>
        <w:rPr>
          <w:rFonts w:ascii="Times New Roman" w:hAnsi="Times New Roman"/>
        </w:rPr>
      </w:pPr>
      <w:r w:rsidRPr="00710A7E">
        <w:rPr>
          <w:rFonts w:ascii="Times New Roman" w:hAnsi="Times New Roman"/>
          <w:highlight w:val="yellow"/>
        </w:rPr>
        <w:t>от         .2023 г.                      №</w:t>
      </w:r>
      <w:r w:rsidRPr="00710A7E">
        <w:rPr>
          <w:rFonts w:ascii="Times New Roman" w:hAnsi="Times New Roman"/>
        </w:rPr>
        <w:t xml:space="preserve">   </w:t>
      </w:r>
    </w:p>
    <w:p w:rsidR="008803AF" w:rsidRPr="00710A7E" w:rsidRDefault="008803AF" w:rsidP="008803AF">
      <w:pPr>
        <w:tabs>
          <w:tab w:val="left" w:pos="1260"/>
        </w:tabs>
        <w:ind w:right="-58"/>
        <w:rPr>
          <w:rFonts w:ascii="Times New Roman" w:hAnsi="Times New Roman"/>
        </w:rPr>
      </w:pPr>
      <w:proofErr w:type="gramStart"/>
      <w:r w:rsidRPr="00710A7E">
        <w:rPr>
          <w:rFonts w:ascii="Times New Roman" w:hAnsi="Times New Roman"/>
        </w:rPr>
        <w:t>с</w:t>
      </w:r>
      <w:proofErr w:type="gramEnd"/>
      <w:r w:rsidRPr="00710A7E">
        <w:rPr>
          <w:rFonts w:ascii="Times New Roman" w:hAnsi="Times New Roman"/>
        </w:rPr>
        <w:t>. Воронцовка</w:t>
      </w:r>
    </w:p>
    <w:p w:rsidR="00F7504A" w:rsidRPr="00710A7E" w:rsidRDefault="00F7504A" w:rsidP="00F7504A">
      <w:pPr>
        <w:pStyle w:val="Title"/>
        <w:spacing w:before="0" w:after="0"/>
        <w:ind w:firstLine="0"/>
        <w:rPr>
          <w:rFonts w:ascii="Times New Roman" w:hAnsi="Times New Roman" w:cs="Times New Roman"/>
          <w:kern w:val="0"/>
        </w:rPr>
      </w:pPr>
    </w:p>
    <w:p w:rsidR="007A31E0" w:rsidRPr="00710A7E" w:rsidRDefault="00F7504A" w:rsidP="008803AF">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p>
    <w:p w:rsidR="00F7504A" w:rsidRPr="00710A7E" w:rsidRDefault="00947A54" w:rsidP="008803AF">
      <w:pPr>
        <w:ind w:right="4251" w:firstLine="0"/>
        <w:rPr>
          <w:rFonts w:ascii="Times New Roman" w:hAnsi="Times New Roman"/>
          <w:sz w:val="26"/>
          <w:szCs w:val="26"/>
        </w:rPr>
      </w:pPr>
      <w:r w:rsidRPr="00710A7E">
        <w:rPr>
          <w:rFonts w:ascii="Times New Roman" w:hAnsi="Times New Roman"/>
          <w:sz w:val="26"/>
          <w:szCs w:val="26"/>
        </w:rPr>
        <w:t>«</w:t>
      </w:r>
      <w:r w:rsidR="00311E4F"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710A7E">
        <w:rPr>
          <w:rFonts w:ascii="Times New Roman" w:hAnsi="Times New Roman"/>
          <w:sz w:val="26"/>
          <w:szCs w:val="26"/>
        </w:rPr>
        <w:t>»</w:t>
      </w:r>
      <w:r w:rsidR="008803AF" w:rsidRPr="00710A7E">
        <w:rPr>
          <w:rFonts w:ascii="Times New Roman" w:hAnsi="Times New Roman"/>
          <w:sz w:val="26"/>
          <w:szCs w:val="26"/>
        </w:rPr>
        <w:t xml:space="preserve"> </w:t>
      </w:r>
      <w:r w:rsidR="00F7504A" w:rsidRPr="00710A7E">
        <w:rPr>
          <w:rFonts w:ascii="Times New Roman" w:hAnsi="Times New Roman"/>
          <w:sz w:val="26"/>
          <w:szCs w:val="26"/>
        </w:rPr>
        <w:t xml:space="preserve">на территории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710A7E" w:rsidRDefault="00F7504A" w:rsidP="00F7504A">
      <w:pPr>
        <w:pStyle w:val="a8"/>
        <w:widowControl w:val="0"/>
        <w:tabs>
          <w:tab w:val="left" w:pos="0"/>
        </w:tabs>
        <w:autoSpaceDE w:val="0"/>
        <w:autoSpaceDN w:val="0"/>
        <w:adjustRightInd w:val="0"/>
        <w:jc w:val="center"/>
        <w:rPr>
          <w:b/>
        </w:rPr>
      </w:pPr>
      <w:r w:rsidRPr="00710A7E">
        <w:rPr>
          <w:b/>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proofErr w:type="spellStart"/>
      <w:r w:rsidR="008803AF" w:rsidRPr="00710A7E">
        <w:rPr>
          <w:rFonts w:ascii="Times New Roman" w:hAnsi="Times New Roman"/>
          <w:sz w:val="26"/>
          <w:szCs w:val="26"/>
        </w:rPr>
        <w:t>Воронцовского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710A7E" w:rsidRDefault="00A71FC9" w:rsidP="008803AF">
      <w:pPr>
        <w:ind w:firstLine="709"/>
        <w:rPr>
          <w:rFonts w:ascii="Times New Roman" w:hAnsi="Times New Roman"/>
          <w:sz w:val="26"/>
          <w:szCs w:val="26"/>
        </w:rPr>
      </w:pPr>
      <w:r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sidR="008803AF" w:rsidRPr="00710A7E">
        <w:rPr>
          <w:rFonts w:ascii="Times New Roman" w:hAnsi="Times New Roman"/>
          <w:sz w:val="26"/>
          <w:szCs w:val="26"/>
        </w:rPr>
        <w:t>14.12.2015г.</w:t>
      </w:r>
      <w:r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sidR="008803AF" w:rsidRPr="00710A7E">
        <w:rPr>
          <w:rFonts w:ascii="Times New Roman" w:hAnsi="Times New Roman"/>
          <w:sz w:val="26"/>
          <w:szCs w:val="26"/>
        </w:rPr>
        <w:t>140</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rsidR="008803AF"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FE57CA" w:rsidRPr="00710A7E">
        <w:rPr>
          <w:rFonts w:ascii="Times New Roman" w:hAnsi="Times New Roman"/>
          <w:sz w:val="26"/>
          <w:szCs w:val="26"/>
        </w:rPr>
        <w:t xml:space="preserve">Настоящее постановление вступает в силу со дня его официального </w:t>
      </w:r>
      <w:r w:rsidR="00FE57CA" w:rsidRPr="00710A7E">
        <w:rPr>
          <w:rFonts w:ascii="Times New Roman" w:hAnsi="Times New Roman"/>
          <w:sz w:val="26"/>
          <w:szCs w:val="26"/>
          <w:highlight w:val="yellow"/>
        </w:rPr>
        <w:t>опубликования</w:t>
      </w:r>
      <w:r w:rsidR="00FE57CA" w:rsidRPr="00710A7E">
        <w:rPr>
          <w:rFonts w:ascii="Times New Roman" w:hAnsi="Times New Roman"/>
          <w:sz w:val="26"/>
          <w:szCs w:val="26"/>
        </w:rPr>
        <w:t>.</w:t>
      </w:r>
    </w:p>
    <w:p w:rsidR="00F7504A" w:rsidRPr="00710A7E" w:rsidRDefault="00FE57CA" w:rsidP="008803AF">
      <w:pPr>
        <w:ind w:firstLine="709"/>
        <w:rPr>
          <w:rFonts w:ascii="Times New Roman" w:hAnsi="Times New Roman"/>
          <w:sz w:val="28"/>
          <w:szCs w:val="28"/>
        </w:rPr>
      </w:pPr>
      <w:r w:rsidRPr="00710A7E">
        <w:rPr>
          <w:rFonts w:ascii="Times New Roman" w:hAnsi="Times New Roman"/>
          <w:sz w:val="26"/>
          <w:szCs w:val="26"/>
        </w:rPr>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p>
    <w:p w:rsidR="00F7504A" w:rsidRPr="00710A7E" w:rsidRDefault="008803AF" w:rsidP="008803AF">
      <w:pPr>
        <w:tabs>
          <w:tab w:val="left" w:pos="3690"/>
        </w:tabs>
        <w:rPr>
          <w:rFonts w:ascii="Times New Roman" w:hAnsi="Times New Roman"/>
          <w:sz w:val="28"/>
          <w:szCs w:val="28"/>
        </w:rPr>
      </w:pPr>
      <w:r w:rsidRPr="00710A7E">
        <w:rPr>
          <w:rFonts w:ascii="Times New Roman" w:hAnsi="Times New Roman"/>
          <w:sz w:val="28"/>
          <w:szCs w:val="28"/>
        </w:rPr>
        <w:tab/>
      </w:r>
    </w:p>
    <w:p w:rsidR="00BB0A84" w:rsidRPr="00710A7E" w:rsidRDefault="00BB0A84" w:rsidP="00BB0A84">
      <w:pPr>
        <w:tabs>
          <w:tab w:val="left" w:pos="0"/>
        </w:tabs>
        <w:ind w:firstLine="0"/>
        <w:rPr>
          <w:rFonts w:ascii="Times New Roman" w:hAnsi="Times New Roman"/>
          <w:sz w:val="28"/>
          <w:szCs w:val="28"/>
        </w:rPr>
      </w:pPr>
    </w:p>
    <w:tbl>
      <w:tblPr>
        <w:tblW w:w="9842" w:type="dxa"/>
        <w:tblLook w:val="04A0" w:firstRow="1" w:lastRow="0" w:firstColumn="1" w:lastColumn="0" w:noHBand="0" w:noVBand="1"/>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lastRenderedPageBreak/>
              <w:t xml:space="preserve">Глава </w:t>
            </w:r>
            <w:proofErr w:type="spellStart"/>
            <w:r w:rsidRPr="00710A7E">
              <w:rPr>
                <w:rFonts w:ascii="Times New Roman" w:hAnsi="Times New Roman"/>
                <w:sz w:val="26"/>
                <w:szCs w:val="26"/>
              </w:rPr>
              <w:t>Воронцовского</w:t>
            </w:r>
            <w:proofErr w:type="spellEnd"/>
            <w:r w:rsidRPr="00710A7E">
              <w:rPr>
                <w:rFonts w:ascii="Times New Roman" w:hAnsi="Times New Roman"/>
                <w:sz w:val="26"/>
                <w:szCs w:val="26"/>
              </w:rPr>
              <w:t xml:space="preserve"> сельского поселения</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jc w:val="right"/>
              <w:rPr>
                <w:rFonts w:ascii="Times New Roman" w:hAnsi="Times New Roman"/>
                <w:sz w:val="26"/>
                <w:szCs w:val="26"/>
              </w:rPr>
            </w:pPr>
            <w:proofErr w:type="spellStart"/>
            <w:r w:rsidRPr="00710A7E">
              <w:rPr>
                <w:rFonts w:ascii="Times New Roman" w:hAnsi="Times New Roman"/>
                <w:sz w:val="26"/>
                <w:szCs w:val="26"/>
              </w:rPr>
              <w:t>Е.И.Ржевская</w:t>
            </w:r>
            <w:proofErr w:type="spellEnd"/>
          </w:p>
        </w:tc>
      </w:tr>
    </w:tbl>
    <w:p w:rsidR="008803AF" w:rsidRPr="00710A7E" w:rsidRDefault="008803AF" w:rsidP="00BB0A84">
      <w:pPr>
        <w:tabs>
          <w:tab w:val="left" w:pos="0"/>
        </w:tabs>
        <w:ind w:firstLine="0"/>
        <w:rPr>
          <w:rFonts w:ascii="Times New Roman" w:hAnsi="Times New Roman"/>
          <w:sz w:val="28"/>
          <w:szCs w:val="28"/>
        </w:rPr>
      </w:pPr>
    </w:p>
    <w:p w:rsidR="008803AF" w:rsidRPr="00710A7E" w:rsidRDefault="00F7504A" w:rsidP="008803AF">
      <w:pPr>
        <w:tabs>
          <w:tab w:val="left" w:pos="5103"/>
        </w:tabs>
        <w:ind w:left="5103"/>
        <w:jc w:val="left"/>
        <w:rPr>
          <w:rFonts w:ascii="Times New Roman" w:hAnsi="Times New Roman"/>
        </w:rPr>
      </w:pPr>
      <w:r w:rsidRPr="00710A7E">
        <w:rPr>
          <w:rFonts w:ascii="Times New Roman" w:hAnsi="Times New Roman"/>
          <w:i/>
        </w:rPr>
        <w:br w:type="page"/>
      </w:r>
      <w:r w:rsidR="008803AF" w:rsidRPr="00710A7E">
        <w:rPr>
          <w:rFonts w:ascii="Times New Roman" w:hAnsi="Times New Roman"/>
        </w:rPr>
        <w:lastRenderedPageBreak/>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8803AF" w:rsidP="008803AF">
      <w:pPr>
        <w:ind w:left="5103"/>
        <w:jc w:val="left"/>
        <w:rPr>
          <w:rFonts w:ascii="Times New Roman" w:hAnsi="Times New Roman"/>
        </w:rPr>
      </w:pPr>
      <w:proofErr w:type="spellStart"/>
      <w:r w:rsidRPr="00710A7E">
        <w:rPr>
          <w:rFonts w:ascii="Times New Roman" w:hAnsi="Times New Roman"/>
        </w:rPr>
        <w:t>Воронцовского</w:t>
      </w:r>
      <w:proofErr w:type="spellEnd"/>
      <w:r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Pr="00710A7E">
        <w:rPr>
          <w:rFonts w:ascii="Times New Roman" w:hAnsi="Times New Roman"/>
          <w:highlight w:val="yellow"/>
        </w:rPr>
        <w:t>00.00.2023 г. № ___</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710A7E">
        <w:rPr>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proofErr w:type="spellStart"/>
      <w:r w:rsidR="00710A7E" w:rsidRPr="00710A7E">
        <w:rPr>
          <w:i w:val="0"/>
          <w:spacing w:val="0"/>
          <w:sz w:val="24"/>
          <w:szCs w:val="24"/>
        </w:rPr>
        <w:t>Воронцовского</w:t>
      </w:r>
      <w:proofErr w:type="spellEnd"/>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proofErr w:type="spellStart"/>
      <w:proofErr w:type="gramStart"/>
      <w:r w:rsidR="0062668B" w:rsidRPr="00710A7E">
        <w:rPr>
          <w:rFonts w:ascii="Times New Roman" w:hAnsi="Times New Roman"/>
        </w:rPr>
        <w:t>области</w:t>
      </w:r>
      <w:proofErr w:type="spellEnd"/>
      <w:proofErr w:type="gramEnd"/>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1">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4"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5"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proofErr w:type="gramStart"/>
      <w:r w:rsidR="00F7504A" w:rsidRPr="00710A7E">
        <w:rPr>
          <w:rFonts w:ascii="Times New Roman" w:hAnsi="Times New Roman"/>
        </w:rPr>
        <w:t xml:space="preserve">На официальном сайте Администрации </w:t>
      </w:r>
      <w:proofErr w:type="spellStart"/>
      <w:r w:rsidR="00710A7E" w:rsidRPr="00710A7E">
        <w:rPr>
          <w:rFonts w:ascii="Times New Roman" w:hAnsi="Times New Roman"/>
        </w:rPr>
        <w:t>Воронцовского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hyperlink r:id="rId16" w:history="1">
        <w:r w:rsidR="00710A7E" w:rsidRPr="00710A7E">
          <w:rPr>
            <w:rFonts w:ascii="Times New Roman" w:hAnsi="Times New Roman"/>
          </w:rPr>
          <w:t>https://voroncovka36.gosuslugi.ru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7"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w:t>
      </w:r>
      <w:proofErr w:type="gramEnd"/>
      <w:r w:rsidR="00D17876" w:rsidRPr="00710A7E">
        <w:rPr>
          <w:rFonts w:ascii="Times New Roman" w:eastAsiaTheme="minorHAnsi" w:hAnsi="Times New Roman"/>
          <w:lang w:eastAsia="en-US"/>
        </w:rPr>
        <w:t xml:space="preserve">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8"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710A7E">
        <w:rPr>
          <w:spacing w:val="0"/>
          <w:sz w:val="24"/>
          <w:szCs w:val="24"/>
        </w:rPr>
        <w:t>Стандарт предоставления муниципальной услуги</w:t>
      </w:r>
      <w:bookmarkEnd w:id="0"/>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Pr="00710A7E">
        <w:rPr>
          <w:rFonts w:ascii="Times New Roman" w:hAnsi="Times New Roman"/>
          <w:sz w:val="24"/>
          <w:szCs w:val="24"/>
        </w:rPr>
        <w:t>Воронцовского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710A7E">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10A7E">
        <w:rPr>
          <w:rFonts w:ascii="Times New Roman" w:hAnsi="Times New Roman"/>
        </w:rPr>
        <w:t xml:space="preserve"> </w:t>
      </w:r>
      <w:proofErr w:type="gramStart"/>
      <w:r w:rsidR="00F7504A" w:rsidRPr="00710A7E">
        <w:rPr>
          <w:rFonts w:ascii="Times New Roman" w:hAnsi="Times New Roman"/>
        </w:rPr>
        <w:t xml:space="preserve">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710A7E">
        <w:rPr>
          <w:rFonts w:ascii="Times New Roman" w:hAnsi="Times New Roman"/>
          <w:highlight w:val="green"/>
        </w:rPr>
        <w:t xml:space="preserve">утвержденным решением Совета народных депутатов </w:t>
      </w:r>
      <w:proofErr w:type="spellStart"/>
      <w:r w:rsidR="00710A7E" w:rsidRPr="00710A7E">
        <w:rPr>
          <w:rFonts w:ascii="Times New Roman" w:hAnsi="Times New Roman"/>
          <w:highlight w:val="green"/>
        </w:rPr>
        <w:t>Воронцовского</w:t>
      </w:r>
      <w:proofErr w:type="spellEnd"/>
      <w:r w:rsidR="00710A7E" w:rsidRPr="00710A7E">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710A7E" w:rsidRPr="00710A7E">
        <w:rPr>
          <w:rFonts w:ascii="Times New Roman" w:hAnsi="Times New Roman"/>
          <w:highlight w:val="green"/>
        </w:rPr>
        <w:t>Воронцовского</w:t>
      </w:r>
      <w:proofErr w:type="spellEnd"/>
      <w:r w:rsidR="00710A7E" w:rsidRPr="00710A7E">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глав</w:t>
      </w:r>
      <w:r>
        <w:rPr>
          <w:rFonts w:ascii="Times New Roman" w:hAnsi="Times New Roman"/>
          <w:sz w:val="24"/>
          <w:szCs w:val="24"/>
        </w:rPr>
        <w:t>ы</w:t>
      </w:r>
      <w:r>
        <w:rPr>
          <w:rFonts w:ascii="Times New Roman" w:hAnsi="Times New Roman"/>
          <w:sz w:val="24"/>
          <w:szCs w:val="24"/>
        </w:rPr>
        <w:t xml:space="preserve"> </w:t>
      </w:r>
      <w:proofErr w:type="spellStart"/>
      <w:r>
        <w:rPr>
          <w:rFonts w:ascii="Times New Roman" w:hAnsi="Times New Roman"/>
          <w:sz w:val="24"/>
          <w:szCs w:val="24"/>
        </w:rPr>
        <w:t>Воронцовского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F46AA5">
        <w:rPr>
          <w:rFonts w:ascii="Times New Roman" w:hAnsi="Times New Roman"/>
        </w:rPr>
        <w:t>Воронцовского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2"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3"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5"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6A0D19" w:rsidRPr="00710A7E" w:rsidRDefault="006A0D19" w:rsidP="004E75C4">
      <w:pPr>
        <w:rPr>
          <w:rFonts w:ascii="Times New Roman" w:hAnsi="Times New Roman"/>
        </w:rPr>
      </w:pP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7">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8">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9">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1">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2">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F7504A" w:rsidRPr="00710A7E">
        <w:rPr>
          <w:rFonts w:ascii="Times New Roman" w:hAnsi="Times New Roman"/>
        </w:rPr>
        <w:t xml:space="preserve"> </w:t>
      </w:r>
      <w:r w:rsidR="00F46AA5" w:rsidRPr="00F46AA5">
        <w:rPr>
          <w:rFonts w:ascii="Times New Roman" w:hAnsi="Times New Roman"/>
          <w:highlight w:val="yellow"/>
        </w:rPr>
        <w:t>в разделе «Услуги и сервисы» по адресу https://voroncovka36.gosuslugi.ru/dlya-zhiteley/uslugi-i-servisy/</w:t>
      </w:r>
      <w:r w:rsidR="00F46AA5" w:rsidRPr="00F46AA5">
        <w:rPr>
          <w:rFonts w:ascii="Times New Roman" w:hAnsi="Times New Roman"/>
        </w:rPr>
        <w:t>.</w:t>
      </w:r>
    </w:p>
    <w:p w:rsidR="00E757E5" w:rsidRPr="00710A7E" w:rsidRDefault="00E757E5" w:rsidP="00D00B26">
      <w:pPr>
        <w:rPr>
          <w:rFonts w:ascii="Times New Roman" w:hAnsi="Times New Roman"/>
          <w:i/>
        </w:rPr>
      </w:pP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2) цель установления публичного сервитута в соответствии со </w:t>
      </w:r>
      <w:hyperlink r:id="rId33"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1" w:name="p1"/>
      <w:bookmarkEnd w:id="1"/>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w:t>
      </w:r>
      <w:r w:rsidRPr="00710A7E">
        <w:rPr>
          <w:rFonts w:ascii="Times New Roman" w:hAnsi="Times New Roman"/>
        </w:rPr>
        <w:lastRenderedPageBreak/>
        <w:t xml:space="preserve">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2" w:name="p2"/>
      <w:bookmarkEnd w:id="2"/>
      <w:proofErr w:type="gramStart"/>
      <w:r w:rsidRPr="00710A7E">
        <w:rPr>
          <w:rFonts w:ascii="Times New Roman" w:hAnsi="Times New Roman"/>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5"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7"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710A7E">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8"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9"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lastRenderedPageBreak/>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Pr="00710A7E">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10A7E">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7"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8"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9"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3" w:name="P184"/>
      <w:bookmarkEnd w:id="3"/>
      <w:r w:rsidR="00ED0C31"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1"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3"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4"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5"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710A7E">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7"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8"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lastRenderedPageBreak/>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 xml:space="preserve">в </w:t>
      </w:r>
      <w:proofErr w:type="gramStart"/>
      <w:r w:rsidR="006100EE" w:rsidRPr="00710A7E">
        <w:rPr>
          <w:color w:val="auto"/>
          <w:sz w:val="24"/>
          <w:szCs w:val="24"/>
        </w:rPr>
        <w:t>первый</w:t>
      </w:r>
      <w:proofErr w:type="gramEnd"/>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E757E5" w:rsidRPr="00710A7E" w:rsidRDefault="00E757E5" w:rsidP="00BA5AB7">
      <w:pPr>
        <w:rPr>
          <w:rFonts w:ascii="Times New Roman" w:hAnsi="Times New Roman"/>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w:t>
      </w:r>
      <w:bookmarkStart w:id="4" w:name="_GoBack"/>
      <w:r w:rsidR="00890952" w:rsidRPr="00710A7E">
        <w:rPr>
          <w:rFonts w:ascii="Times New Roman" w:eastAsiaTheme="minorHAnsi" w:hAnsi="Times New Roman"/>
          <w:lang w:eastAsia="en-US"/>
        </w:rPr>
        <w:t>структ</w:t>
      </w:r>
      <w:bookmarkEnd w:id="4"/>
      <w:r w:rsidR="00890952" w:rsidRPr="00710A7E">
        <w:rPr>
          <w:rFonts w:ascii="Times New Roman" w:eastAsiaTheme="minorHAnsi" w:hAnsi="Times New Roman"/>
          <w:lang w:eastAsia="en-US"/>
        </w:rPr>
        <w:t>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710A7E">
        <w:rPr>
          <w:spacing w:val="0"/>
          <w:sz w:val="24"/>
          <w:szCs w:val="24"/>
        </w:rPr>
        <w:t xml:space="preserve"> </w:t>
      </w:r>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lastRenderedPageBreak/>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rsidR="00D3119E" w:rsidRPr="00710A7E" w:rsidRDefault="00D3119E" w:rsidP="00D3119E">
      <w:pPr>
        <w:autoSpaceDE w:val="0"/>
        <w:autoSpaceDN w:val="0"/>
        <w:adjustRightInd w:val="0"/>
        <w:rPr>
          <w:rFonts w:ascii="Times New Roman" w:hAnsi="Times New Roman"/>
          <w:color w:val="000000"/>
        </w:rPr>
      </w:pPr>
    </w:p>
    <w:p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rsidR="000543B3" w:rsidRPr="00710A7E" w:rsidRDefault="00D776A0" w:rsidP="00F8036C">
      <w:pPr>
        <w:pStyle w:val="ConsPlusNormal"/>
        <w:ind w:firstLine="709"/>
        <w:jc w:val="both"/>
        <w:rPr>
          <w:rFonts w:ascii="Times New Roman" w:hAnsi="Times New Roman" w:cs="Times New Roman"/>
          <w:sz w:val="24"/>
          <w:szCs w:val="24"/>
        </w:rPr>
      </w:pPr>
      <w:proofErr w:type="gramStart"/>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roofErr w:type="gramEnd"/>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lastRenderedPageBreak/>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w:t>
      </w:r>
      <w:proofErr w:type="gramStart"/>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w:t>
      </w:r>
      <w:r w:rsidRPr="00710A7E">
        <w:rPr>
          <w:rFonts w:ascii="Times New Roman" w:hAnsi="Times New Roman" w:cs="Times New Roman"/>
          <w:sz w:val="24"/>
          <w:szCs w:val="24"/>
        </w:rPr>
        <w:lastRenderedPageBreak/>
        <w:t>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9"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0A7E">
        <w:rPr>
          <w:rFonts w:ascii="Times New Roman" w:hAnsi="Times New Roman"/>
        </w:rPr>
        <w:t>также</w:t>
      </w:r>
      <w:proofErr w:type="gramEnd"/>
      <w:r w:rsidRPr="00710A7E">
        <w:rPr>
          <w:rFonts w:ascii="Times New Roman" w:hAnsi="Times New Roman"/>
        </w:rPr>
        <w:t xml:space="preserve">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1"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2"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5"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7"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lastRenderedPageBreak/>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w:t>
      </w:r>
      <w:proofErr w:type="gramStart"/>
      <w:r w:rsidR="00F7666B" w:rsidRPr="00710A7E">
        <w:rPr>
          <w:rFonts w:ascii="Times New Roman" w:eastAsiaTheme="minorHAnsi" w:hAnsi="Times New Roman"/>
          <w:lang w:eastAsia="en-US"/>
        </w:rPr>
        <w:t>с даты принятия</w:t>
      </w:r>
      <w:proofErr w:type="gramEnd"/>
      <w:r w:rsidR="00F7666B" w:rsidRPr="00710A7E">
        <w:rPr>
          <w:rFonts w:ascii="Times New Roman" w:eastAsiaTheme="minorHAnsi" w:hAnsi="Times New Roman"/>
          <w:lang w:eastAsia="en-US"/>
        </w:rPr>
        <w:t xml:space="preserve">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w:t>
      </w:r>
      <w:r w:rsidR="00A43B29" w:rsidRPr="00710A7E">
        <w:rPr>
          <w:rFonts w:ascii="Times New Roman" w:hAnsi="Times New Roman"/>
        </w:rPr>
        <w:lastRenderedPageBreak/>
        <w:t xml:space="preserve">носителе </w:t>
      </w:r>
      <w:r w:rsidRPr="00710A7E">
        <w:rPr>
          <w:rFonts w:ascii="Times New Roman" w:eastAsiaTheme="minorHAnsi" w:hAnsi="Times New Roman"/>
          <w:lang w:eastAsia="en-US"/>
        </w:rPr>
        <w:t xml:space="preserve">в течение 1 рабочего дня </w:t>
      </w:r>
      <w:proofErr w:type="gramStart"/>
      <w:r w:rsidRPr="00710A7E">
        <w:rPr>
          <w:rFonts w:ascii="Times New Roman" w:eastAsiaTheme="minorHAnsi" w:hAnsi="Times New Roman"/>
          <w:lang w:eastAsia="en-US"/>
        </w:rPr>
        <w:t>с даты принятия</w:t>
      </w:r>
      <w:proofErr w:type="gramEnd"/>
      <w:r w:rsidRPr="00710A7E">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7"/>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710A7E">
        <w:rPr>
          <w:rFonts w:ascii="Times New Roman" w:hAnsi="Times New Roman"/>
        </w:rPr>
        <w:lastRenderedPageBreak/>
        <w:t xml:space="preserve">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r w:rsidRPr="00710A7E">
        <w:rPr>
          <w:rFonts w:ascii="Times New Roman" w:hAnsi="Times New Roman"/>
        </w:rPr>
        <w:lastRenderedPageBreak/>
        <w:t xml:space="preserve"> </w:t>
      </w: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r w:rsidRPr="00710A7E">
        <w:rPr>
          <w:rFonts w:ascii="Times New Roman" w:hAnsi="Times New Roman"/>
          <w:b/>
        </w:rPr>
        <w:t xml:space="preserve"> </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w:t>
      </w:r>
      <w:proofErr w:type="gramStart"/>
      <w:r w:rsidRPr="00710A7E">
        <w:rPr>
          <w:rFonts w:ascii="Times New Roman" w:hAnsi="Times New Roman"/>
        </w:rPr>
        <w:t>жалобой</w:t>
      </w:r>
      <w:proofErr w:type="gramEnd"/>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10A7E">
        <w:rPr>
          <w:rFonts w:ascii="Times New Roman" w:hAnsi="Times New Roman"/>
        </w:rPr>
        <w:lastRenderedPageBreak/>
        <w:t>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Глава </w:t>
      </w:r>
      <w:proofErr w:type="spellStart"/>
      <w:r w:rsidR="00B62502" w:rsidRPr="00B62502">
        <w:rPr>
          <w:rFonts w:ascii="Times New Roman" w:hAnsi="Times New Roman"/>
        </w:rPr>
        <w:t>Воронцовского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w:t>
      </w:r>
      <w:proofErr w:type="gramStart"/>
      <w:r w:rsidRPr="00710A7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5"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w:t>
      </w:r>
      <w:proofErr w:type="gramStart"/>
      <w:r w:rsidRPr="00710A7E">
        <w:rPr>
          <w:rFonts w:ascii="Times New Roman" w:hAnsi="Times New Roman"/>
        </w:rPr>
        <w:t>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w:t>
      </w:r>
      <w:proofErr w:type="gramStart"/>
      <w:r w:rsidRPr="00710A7E">
        <w:rPr>
          <w:rFonts w:ascii="Times New Roman" w:hAnsi="Times New Roman"/>
        </w:rPr>
        <w:t>рассмотрения жалобы признаков состава административного правонарушения</w:t>
      </w:r>
      <w:proofErr w:type="gramEnd"/>
      <w:r w:rsidRPr="00710A7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proofErr w:type="gramEnd"/>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Pr="00710A7E">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710A7E">
        <w:rPr>
          <w:rFonts w:ascii="Times New Roman" w:hAnsi="Times New Roman" w:cs="Times New Roman"/>
          <w:sz w:val="24"/>
          <w:szCs w:val="24"/>
        </w:rPr>
        <w:t>в</w:t>
      </w:r>
      <w:proofErr w:type="gramEnd"/>
    </w:p>
    <w:p w:rsidR="004B5814" w:rsidRPr="00710A7E" w:rsidRDefault="004B5814" w:rsidP="004B5814">
      <w:pPr>
        <w:pStyle w:val="ConsPlusNonformat"/>
        <w:jc w:val="both"/>
        <w:rPr>
          <w:rFonts w:ascii="Times New Roman" w:hAnsi="Times New Roman" w:cs="Times New Roman"/>
          <w:sz w:val="24"/>
          <w:szCs w:val="24"/>
        </w:rPr>
      </w:pPr>
      <w:proofErr w:type="gramStart"/>
      <w:r w:rsidRPr="00710A7E">
        <w:rPr>
          <w:rFonts w:ascii="Times New Roman" w:hAnsi="Times New Roman" w:cs="Times New Roman"/>
          <w:sz w:val="24"/>
          <w:szCs w:val="24"/>
        </w:rPr>
        <w:t>предоставлении</w:t>
      </w:r>
      <w:proofErr w:type="gramEnd"/>
      <w:r w:rsidRPr="00710A7E">
        <w:rPr>
          <w:rFonts w:ascii="Times New Roman" w:hAnsi="Times New Roman" w:cs="Times New Roman"/>
          <w:sz w:val="24"/>
          <w:szCs w:val="24"/>
        </w:rPr>
        <w:t xml:space="preserve">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 xml:space="preserve">отсутствуют </w:t>
            </w:r>
            <w:proofErr w:type="gramStart"/>
            <w:r w:rsidRPr="00710A7E">
              <w:rPr>
                <w:rFonts w:ascii="Times New Roman" w:hAnsi="Times New Roman" w:cs="Times New Roman"/>
                <w:sz w:val="24"/>
                <w:szCs w:val="24"/>
              </w:rPr>
              <w:t>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710A7E">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8">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710A7E">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proofErr w:type="gramStart"/>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80">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1">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w:t>
            </w:r>
            <w:proofErr w:type="gramStart"/>
            <w:r w:rsidRPr="00710A7E">
              <w:rPr>
                <w:rFonts w:ascii="Times New Roman" w:hAnsi="Times New Roman"/>
              </w:rPr>
              <w:t>о(</w:t>
            </w:r>
            <w:proofErr w:type="spellStart"/>
            <w:proofErr w:type="gramEnd"/>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3"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710A7E">
              <w:rPr>
                <w:rFonts w:ascii="Times New Roman" w:hAnsi="Times New Roman"/>
              </w:rPr>
              <w:t xml:space="preserve">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710A7E">
              <w:rPr>
                <w:rFonts w:ascii="Times New Roman" w:hAnsi="Times New Roman"/>
              </w:rPr>
              <w:t>также</w:t>
            </w:r>
            <w:proofErr w:type="gramEnd"/>
            <w:r w:rsidRPr="00710A7E">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roofErr w:type="gramStart"/>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roofErr w:type="gramEnd"/>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w:t>
            </w:r>
            <w:proofErr w:type="gramStart"/>
            <w:r w:rsidRPr="00710A7E">
              <w:rPr>
                <w:rFonts w:ascii="Times New Roman" w:hAnsi="Times New Roman"/>
              </w:rPr>
              <w:t>г</w:t>
            </w:r>
            <w:proofErr w:type="gramEnd"/>
            <w:r w:rsidRPr="00710A7E">
              <w:rPr>
                <w:rFonts w:ascii="Times New Roman" w:hAnsi="Times New Roman"/>
              </w:rPr>
              <w:t xml:space="preserve">.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7"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w:t>
            </w:r>
            <w:r w:rsidRPr="00756EF5">
              <w:rPr>
                <w:rFonts w:ascii="Times New Roman" w:hAnsi="Times New Roman" w:cs="Times New Roman"/>
                <w:szCs w:val="20"/>
              </w:rPr>
              <w:lastRenderedPageBreak/>
              <w:t>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w:t>
            </w:r>
            <w:r w:rsidRPr="00756EF5">
              <w:rPr>
                <w:rFonts w:ascii="Times New Roman" w:hAnsi="Times New Roman" w:cs="Times New Roman"/>
                <w:szCs w:val="20"/>
              </w:rPr>
              <w:lastRenderedPageBreak/>
              <w:t>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w:t>
            </w:r>
            <w:r w:rsidRPr="00756EF5">
              <w:rPr>
                <w:rFonts w:ascii="Times New Roman" w:hAnsi="Times New Roman" w:cs="Times New Roman"/>
                <w:szCs w:val="20"/>
              </w:rPr>
              <w:lastRenderedPageBreak/>
              <w:t xml:space="preserve">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w:t>
            </w:r>
            <w:r w:rsidRPr="00756EF5">
              <w:rPr>
                <w:rFonts w:ascii="Times New Roman" w:hAnsi="Times New Roman" w:cs="Times New Roman"/>
                <w:szCs w:val="20"/>
              </w:rPr>
              <w:lastRenderedPageBreak/>
              <w:t>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w:t>
            </w:r>
            <w:r w:rsidRPr="00756EF5">
              <w:rPr>
                <w:rFonts w:ascii="Times New Roman" w:hAnsi="Times New Roman" w:cs="Times New Roman"/>
                <w:szCs w:val="20"/>
              </w:rPr>
              <w:lastRenderedPageBreak/>
              <w:t>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w:t>
            </w:r>
            <w:r w:rsidRPr="00756EF5">
              <w:rPr>
                <w:rFonts w:ascii="Times New Roman" w:hAnsi="Times New Roman" w:cs="Times New Roman"/>
                <w:szCs w:val="20"/>
              </w:rPr>
              <w:lastRenderedPageBreak/>
              <w:t>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w:t>
            </w:r>
            <w:r w:rsidRPr="00756EF5">
              <w:rPr>
                <w:rFonts w:ascii="Times New Roman" w:hAnsi="Times New Roman" w:cs="Times New Roman"/>
                <w:szCs w:val="20"/>
              </w:rPr>
              <w:lastRenderedPageBreak/>
              <w:t>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756EF5">
              <w:rPr>
                <w:rFonts w:ascii="Times New Roman" w:hAnsi="Times New Roman" w:cs="Times New Roman"/>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9">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1">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756EF5">
        <w:rPr>
          <w:rFonts w:ascii="Times New Roman" w:hAnsi="Times New Roman" w:cs="Times New Roman"/>
        </w:rPr>
        <w:lastRenderedPageBreak/>
        <w:t xml:space="preserve">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w:t>
            </w:r>
            <w:proofErr w:type="gramStart"/>
            <w:r w:rsidRPr="00710A7E">
              <w:rPr>
                <w:rFonts w:ascii="Times New Roman" w:eastAsia="Tahoma" w:hAnsi="Times New Roman"/>
                <w:lang w:bidi="ru-RU"/>
              </w:rPr>
              <w:t xml:space="preserve"> (-</w:t>
            </w:r>
            <w:proofErr w:type="spellStart"/>
            <w:proofErr w:type="gramEnd"/>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proofErr w:type="gramStart"/>
            <w:r w:rsidRPr="00756EF5">
              <w:rPr>
                <w:rFonts w:ascii="Times New Roman" w:eastAsia="Calibri" w:hAnsi="Times New Roman"/>
              </w:rPr>
              <w:t>Обратился руководитель юридического лица /обратился</w:t>
            </w:r>
            <w:proofErr w:type="gramEnd"/>
            <w:r w:rsidRPr="00756EF5">
              <w:rPr>
                <w:rFonts w:ascii="Times New Roman" w:eastAsia="Calibri" w:hAnsi="Times New Roman"/>
              </w:rPr>
              <w:t xml:space="preserve">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4"/>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5F" w:rsidRDefault="000B295F" w:rsidP="009476CE">
      <w:r>
        <w:separator/>
      </w:r>
    </w:p>
  </w:endnote>
  <w:endnote w:type="continuationSeparator" w:id="0">
    <w:p w:rsidR="000B295F" w:rsidRDefault="000B29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5F" w:rsidRDefault="000B295F" w:rsidP="009476CE">
      <w:r>
        <w:separator/>
      </w:r>
    </w:p>
  </w:footnote>
  <w:footnote w:type="continuationSeparator" w:id="0">
    <w:p w:rsidR="000B295F" w:rsidRDefault="000B295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AF" w:rsidRDefault="008803AF"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s://voroncovka36.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 Id="rId34" Type="http://schemas.openxmlformats.org/officeDocument/2006/relationships/hyperlink" Target="https://login.consultant.ru/link/?req=doc&amp;demo=2&amp;base=LAW&amp;n=446195&amp;dst=201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1315&amp;field=134&amp;date=11.06.2023" TargetMode="External"/><Relationship Id="rId87" Type="http://schemas.openxmlformats.org/officeDocument/2006/relationships/hyperlink" Target="https://login.consultant.ru/link/?req=doc&amp;demo=2&amp;base=LAW&amp;n=446195&amp;dst=2037&amp;field=134&amp;date=11.06.2023" TargetMode="Externa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56" Type="http://schemas.openxmlformats.org/officeDocument/2006/relationships/hyperlink" Target="https://login.consultant.ru/link/?req=doc&amp;demo=2&amp;base=LAW&amp;n=446195&amp;dst=2016&amp;field=134&amp;date=11.06.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DD80-004C-48BA-B929-96B143C4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53</Pages>
  <Words>22938</Words>
  <Characters>130749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147</cp:revision>
  <cp:lastPrinted>2023-06-13T07:59:00Z</cp:lastPrinted>
  <dcterms:created xsi:type="dcterms:W3CDTF">2023-05-30T10:17:00Z</dcterms:created>
  <dcterms:modified xsi:type="dcterms:W3CDTF">2023-08-31T08:55:00Z</dcterms:modified>
</cp:coreProperties>
</file>