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9" w:rsidRPr="00856CD9" w:rsidRDefault="00856CD9" w:rsidP="00856CD9">
      <w:pPr>
        <w:pStyle w:val="6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Совет народных депутатов </w:t>
      </w:r>
      <w:proofErr w:type="spellStart"/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Воронцовского</w:t>
      </w:r>
      <w:proofErr w:type="spellEnd"/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сельского поселения</w:t>
      </w:r>
    </w:p>
    <w:p w:rsidR="00856CD9" w:rsidRPr="00856CD9" w:rsidRDefault="00856CD9" w:rsidP="00856CD9">
      <w:pPr>
        <w:pStyle w:val="6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Павловского муниципального района </w:t>
      </w:r>
    </w:p>
    <w:p w:rsidR="00856CD9" w:rsidRPr="00856CD9" w:rsidRDefault="00856CD9" w:rsidP="00856CD9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pacing w:val="20"/>
          <w:sz w:val="28"/>
          <w:szCs w:val="28"/>
        </w:rPr>
      </w:pPr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Воронежской области</w:t>
      </w:r>
    </w:p>
    <w:p w:rsidR="00856CD9" w:rsidRPr="00856CD9" w:rsidRDefault="00856CD9" w:rsidP="00856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CD9" w:rsidRPr="00856CD9" w:rsidRDefault="00856CD9" w:rsidP="00856CD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pacing w:val="120"/>
          <w:sz w:val="30"/>
          <w:szCs w:val="30"/>
        </w:rPr>
      </w:pPr>
      <w:r w:rsidRPr="00856CD9">
        <w:rPr>
          <w:rFonts w:ascii="Times New Roman" w:hAnsi="Times New Roman" w:cs="Times New Roman"/>
          <w:color w:val="auto"/>
          <w:spacing w:val="120"/>
          <w:sz w:val="30"/>
          <w:szCs w:val="30"/>
        </w:rPr>
        <w:t>РЕШЕНИЕ</w:t>
      </w:r>
    </w:p>
    <w:p w:rsidR="00856CD9" w:rsidRPr="00856CD9" w:rsidRDefault="00856CD9" w:rsidP="00856CD9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56CD9" w:rsidRPr="00856CD9" w:rsidRDefault="00856CD9" w:rsidP="00856CD9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8"/>
          <w:szCs w:val="28"/>
        </w:rPr>
      </w:pPr>
    </w:p>
    <w:p w:rsidR="00856CD9" w:rsidRPr="0081555D" w:rsidRDefault="005063CA" w:rsidP="00856CD9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81555D">
        <w:rPr>
          <w:rFonts w:ascii="Times New Roman" w:hAnsi="Times New Roman" w:cs="Times New Roman"/>
          <w:sz w:val="24"/>
          <w:szCs w:val="24"/>
        </w:rPr>
        <w:t xml:space="preserve">от   </w:t>
      </w:r>
      <w:r w:rsidR="0081555D" w:rsidRPr="0081555D">
        <w:rPr>
          <w:rFonts w:ascii="Times New Roman" w:hAnsi="Times New Roman" w:cs="Times New Roman"/>
          <w:sz w:val="24"/>
          <w:szCs w:val="24"/>
        </w:rPr>
        <w:t>13</w:t>
      </w:r>
      <w:r w:rsidRPr="0081555D">
        <w:rPr>
          <w:rFonts w:ascii="Times New Roman" w:hAnsi="Times New Roman" w:cs="Times New Roman"/>
          <w:sz w:val="24"/>
          <w:szCs w:val="24"/>
        </w:rPr>
        <w:t>.0</w:t>
      </w:r>
      <w:r w:rsidR="0081555D" w:rsidRPr="0081555D">
        <w:rPr>
          <w:rFonts w:ascii="Times New Roman" w:hAnsi="Times New Roman" w:cs="Times New Roman"/>
          <w:sz w:val="24"/>
          <w:szCs w:val="24"/>
        </w:rPr>
        <w:t>9</w:t>
      </w:r>
      <w:r w:rsidRPr="0081555D">
        <w:rPr>
          <w:rFonts w:ascii="Times New Roman" w:hAnsi="Times New Roman" w:cs="Times New Roman"/>
          <w:sz w:val="24"/>
          <w:szCs w:val="24"/>
        </w:rPr>
        <w:t xml:space="preserve">.2024 г.               № </w:t>
      </w:r>
      <w:r w:rsidR="0081555D" w:rsidRPr="0081555D">
        <w:rPr>
          <w:rFonts w:ascii="Times New Roman" w:hAnsi="Times New Roman" w:cs="Times New Roman"/>
          <w:sz w:val="24"/>
          <w:szCs w:val="24"/>
        </w:rPr>
        <w:t>259</w:t>
      </w:r>
      <w:r w:rsidR="00856CD9" w:rsidRPr="008155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6CD9" w:rsidRPr="00856CD9" w:rsidRDefault="00856CD9" w:rsidP="00856CD9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proofErr w:type="gramStart"/>
      <w:r w:rsidRPr="008155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555D">
        <w:rPr>
          <w:rFonts w:ascii="Times New Roman" w:hAnsi="Times New Roman" w:cs="Times New Roman"/>
          <w:sz w:val="24"/>
          <w:szCs w:val="24"/>
        </w:rPr>
        <w:t>. Воронцовка</w:t>
      </w:r>
    </w:p>
    <w:p w:rsidR="00213B5E" w:rsidRDefault="00213B5E" w:rsidP="00213B5E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13B5E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Совета</w:t>
      </w:r>
    </w:p>
    <w:p w:rsidR="001A4F42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DC7E26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 01.02.2017</w:t>
      </w:r>
      <w:r w:rsidR="00864B23"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 № 115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213B5E">
        <w:rPr>
          <w:rFonts w:ascii="Times New Roman" w:hAnsi="Times New Roman"/>
          <w:sz w:val="26"/>
          <w:szCs w:val="26"/>
        </w:rPr>
        <w:t xml:space="preserve">Об утверждении </w:t>
      </w:r>
    </w:p>
    <w:p w:rsidR="00DC7E26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комплексного</w:t>
      </w:r>
      <w:r w:rsidR="00DC7E26">
        <w:rPr>
          <w:rFonts w:ascii="Times New Roman" w:hAnsi="Times New Roman"/>
          <w:sz w:val="26"/>
          <w:szCs w:val="26"/>
        </w:rPr>
        <w:t xml:space="preserve"> развития </w:t>
      </w:r>
      <w:r>
        <w:rPr>
          <w:rFonts w:ascii="Times New Roman" w:hAnsi="Times New Roman"/>
          <w:sz w:val="26"/>
          <w:szCs w:val="26"/>
        </w:rPr>
        <w:t xml:space="preserve">социальной </w:t>
      </w:r>
    </w:p>
    <w:p w:rsidR="00213B5E" w:rsidRDefault="00213B5E" w:rsidP="00864B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инфраструктуры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Default="00213B5E" w:rsidP="00864B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 w:rsidR="00E22B48">
        <w:rPr>
          <w:rFonts w:ascii="Times New Roman" w:hAnsi="Times New Roman"/>
          <w:sz w:val="26"/>
          <w:szCs w:val="26"/>
        </w:rPr>
        <w:t>на 201</w:t>
      </w:r>
      <w:r w:rsidR="00856CD9">
        <w:rPr>
          <w:rFonts w:ascii="Times New Roman" w:hAnsi="Times New Roman"/>
          <w:sz w:val="26"/>
          <w:szCs w:val="26"/>
        </w:rPr>
        <w:t>7</w:t>
      </w:r>
      <w:r w:rsidR="00E22B48">
        <w:rPr>
          <w:rFonts w:ascii="Times New Roman" w:hAnsi="Times New Roman"/>
          <w:sz w:val="26"/>
          <w:szCs w:val="26"/>
        </w:rPr>
        <w:t>-2030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="001A4F42">
        <w:rPr>
          <w:rFonts w:ascii="Times New Roman" w:hAnsi="Times New Roman"/>
          <w:sz w:val="26"/>
          <w:szCs w:val="26"/>
        </w:rPr>
        <w:t>»</w:t>
      </w:r>
    </w:p>
    <w:p w:rsidR="00864B23" w:rsidRPr="002100D7" w:rsidRDefault="00864B23" w:rsidP="00864B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B5E" w:rsidRPr="002100D7" w:rsidRDefault="00213B5E" w:rsidP="00864B2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0D7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="00856CD9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proofErr w:type="spellStart"/>
      <w:r w:rsidR="00856CD9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856CD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Default="00856CD9" w:rsidP="00213B5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="00720EDD">
        <w:rPr>
          <w:rFonts w:ascii="Times New Roman" w:hAnsi="Times New Roman"/>
          <w:sz w:val="26"/>
          <w:szCs w:val="26"/>
        </w:rPr>
        <w:t>:</w:t>
      </w:r>
    </w:p>
    <w:p w:rsidR="00DC7E26" w:rsidRDefault="00213B5E" w:rsidP="00DC7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DC7E26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="00DC7E26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от 01.02.2017 г. № 115 «Об утверждении Программы комплексного развития социальной инфраструктуры </w:t>
      </w:r>
      <w:proofErr w:type="spellStart"/>
      <w:r w:rsidR="00DC7E26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на 2017-2030 годы» следующие изменения:</w:t>
      </w:r>
    </w:p>
    <w:p w:rsidR="00DC7E26" w:rsidRDefault="00DC7E26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1.1. Приложение к решению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изложить в новой редакции согласно приложению.</w:t>
      </w:r>
    </w:p>
    <w:p w:rsidR="00213B5E" w:rsidRPr="0081555D" w:rsidRDefault="00213B5E" w:rsidP="00864B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 w:rsidR="0081555D" w:rsidRPr="0081555D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DC7E26" w:rsidRPr="0081555D">
        <w:rPr>
          <w:rFonts w:ascii="Times New Roman" w:hAnsi="Times New Roman"/>
          <w:sz w:val="26"/>
          <w:szCs w:val="26"/>
        </w:rPr>
        <w:t>.</w:t>
      </w:r>
    </w:p>
    <w:p w:rsidR="00DC7E26" w:rsidRPr="00864B23" w:rsidRDefault="00DC7E26" w:rsidP="00864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087" w:rsidRPr="00864B23" w:rsidRDefault="00CA3087" w:rsidP="00864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864B23" w:rsidRPr="00864B23" w:rsidTr="0041194D">
        <w:tc>
          <w:tcPr>
            <w:tcW w:w="5495" w:type="dxa"/>
            <w:shd w:val="clear" w:color="auto" w:fill="auto"/>
          </w:tcPr>
          <w:p w:rsidR="00864B23" w:rsidRPr="00864B23" w:rsidRDefault="00864B23" w:rsidP="00864B23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поселения</w:t>
            </w:r>
          </w:p>
          <w:p w:rsidR="00864B23" w:rsidRPr="00864B23" w:rsidRDefault="00864B23" w:rsidP="00864B23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>Павловского муниципального района</w:t>
            </w:r>
          </w:p>
          <w:p w:rsidR="00864B23" w:rsidRPr="00864B23" w:rsidRDefault="00864B23" w:rsidP="00864B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B23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proofErr w:type="spellEnd"/>
            <w:r w:rsidRPr="00864B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4B23">
              <w:rPr>
                <w:rFonts w:ascii="Times New Roman" w:hAnsi="Times New Roman"/>
                <w:sz w:val="26"/>
                <w:szCs w:val="26"/>
              </w:rPr>
              <w:t>области</w:t>
            </w:r>
            <w:proofErr w:type="spellEnd"/>
            <w:r w:rsidRPr="00864B23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4252" w:type="dxa"/>
            <w:shd w:val="clear" w:color="auto" w:fill="auto"/>
          </w:tcPr>
          <w:p w:rsidR="00864B23" w:rsidRPr="00864B23" w:rsidRDefault="00864B23" w:rsidP="00864B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864B23" w:rsidRPr="00864B23" w:rsidRDefault="00864B23" w:rsidP="00864B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64B23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 w:rsidR="00864B23" w:rsidRPr="00864B23" w:rsidRDefault="00864B23" w:rsidP="00864B23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B23">
              <w:rPr>
                <w:rFonts w:ascii="Times New Roman" w:hAnsi="Times New Roman"/>
                <w:sz w:val="26"/>
                <w:szCs w:val="26"/>
              </w:rPr>
              <w:t>Е.И.Ржевская</w:t>
            </w:r>
            <w:proofErr w:type="spellEnd"/>
          </w:p>
        </w:tc>
      </w:tr>
    </w:tbl>
    <w:p w:rsidR="00856CD9" w:rsidRPr="00864B23" w:rsidRDefault="00856CD9" w:rsidP="00864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64B23" w:rsidRPr="00864B23" w:rsidTr="0041194D">
        <w:tc>
          <w:tcPr>
            <w:tcW w:w="5211" w:type="dxa"/>
            <w:vAlign w:val="bottom"/>
            <w:hideMark/>
          </w:tcPr>
          <w:p w:rsidR="00864B23" w:rsidRPr="00864B23" w:rsidRDefault="00864B23" w:rsidP="0086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народных депутатов </w:t>
            </w:r>
          </w:p>
          <w:p w:rsidR="00864B23" w:rsidRPr="00864B23" w:rsidRDefault="00864B23" w:rsidP="0086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23"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64B2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864B23" w:rsidRPr="00864B23" w:rsidRDefault="00864B23" w:rsidP="0086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23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864B23" w:rsidRPr="00864B23" w:rsidRDefault="00864B23" w:rsidP="00864B23">
            <w:pPr>
              <w:pStyle w:val="af3"/>
              <w:tabs>
                <w:tab w:val="left" w:pos="1080"/>
              </w:tabs>
              <w:spacing w:after="0"/>
              <w:ind w:right="-83"/>
              <w:jc w:val="both"/>
              <w:rPr>
                <w:bCs/>
                <w:sz w:val="26"/>
                <w:szCs w:val="26"/>
              </w:rPr>
            </w:pPr>
            <w:r w:rsidRPr="00864B23">
              <w:rPr>
                <w:sz w:val="26"/>
                <w:szCs w:val="26"/>
              </w:rPr>
              <w:t xml:space="preserve">Воронежской области                                                                                   </w:t>
            </w:r>
          </w:p>
        </w:tc>
        <w:tc>
          <w:tcPr>
            <w:tcW w:w="4536" w:type="dxa"/>
            <w:vAlign w:val="bottom"/>
          </w:tcPr>
          <w:p w:rsidR="00864B23" w:rsidRPr="00864B23" w:rsidRDefault="00864B23" w:rsidP="00864B23">
            <w:pPr>
              <w:pStyle w:val="af3"/>
              <w:tabs>
                <w:tab w:val="left" w:pos="1080"/>
              </w:tabs>
              <w:spacing w:after="0"/>
              <w:ind w:right="-83"/>
              <w:jc w:val="both"/>
              <w:rPr>
                <w:sz w:val="26"/>
                <w:szCs w:val="26"/>
              </w:rPr>
            </w:pPr>
          </w:p>
          <w:p w:rsidR="00864B23" w:rsidRPr="00864B23" w:rsidRDefault="00864B23" w:rsidP="00864B23">
            <w:pPr>
              <w:pStyle w:val="af3"/>
              <w:tabs>
                <w:tab w:val="left" w:pos="1080"/>
              </w:tabs>
              <w:spacing w:after="0"/>
              <w:ind w:right="-83"/>
              <w:jc w:val="both"/>
              <w:rPr>
                <w:sz w:val="26"/>
                <w:szCs w:val="26"/>
              </w:rPr>
            </w:pPr>
          </w:p>
          <w:p w:rsidR="00864B23" w:rsidRPr="00864B23" w:rsidRDefault="00864B23" w:rsidP="00864B23">
            <w:pPr>
              <w:pStyle w:val="af3"/>
              <w:tabs>
                <w:tab w:val="left" w:pos="1080"/>
              </w:tabs>
              <w:spacing w:after="0"/>
              <w:ind w:right="-83"/>
              <w:jc w:val="right"/>
              <w:rPr>
                <w:bCs/>
                <w:sz w:val="26"/>
                <w:szCs w:val="26"/>
              </w:rPr>
            </w:pPr>
            <w:proofErr w:type="spellStart"/>
            <w:r w:rsidRPr="00864B23">
              <w:rPr>
                <w:sz w:val="26"/>
                <w:szCs w:val="26"/>
              </w:rPr>
              <w:t>Г.Н.Дроздова</w:t>
            </w:r>
            <w:proofErr w:type="spellEnd"/>
          </w:p>
        </w:tc>
      </w:tr>
    </w:tbl>
    <w:p w:rsidR="00CA3087" w:rsidRPr="00864B23" w:rsidRDefault="00CA3087" w:rsidP="00864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623" w:rsidRDefault="00B55623" w:rsidP="002322E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64B23" w:rsidRDefault="00864B23">
      <w:pPr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br w:type="page"/>
      </w:r>
    </w:p>
    <w:p w:rsidR="00E16429" w:rsidRPr="00864B23" w:rsidRDefault="00EE5497" w:rsidP="00864B2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</w:t>
      </w:r>
    </w:p>
    <w:p w:rsidR="00E16429" w:rsidRPr="00864B23" w:rsidRDefault="00CA3087" w:rsidP="00864B2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</w:t>
      </w:r>
      <w:r w:rsidR="00856CD9"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</w:t>
      </w:r>
      <w:r w:rsid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>ю</w:t>
      </w:r>
      <w:r w:rsidR="00856CD9"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</w:t>
      </w:r>
      <w:r w:rsidR="00E16429"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народных </w:t>
      </w:r>
      <w:r w:rsidR="00B55623"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депутатов </w:t>
      </w:r>
    </w:p>
    <w:p w:rsidR="00E16429" w:rsidRPr="00864B23" w:rsidRDefault="002568C5" w:rsidP="00864B2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>Воронцовского</w:t>
      </w:r>
      <w:proofErr w:type="spellEnd"/>
      <w:r w:rsidR="00E16429"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</w:t>
      </w:r>
      <w:r w:rsidR="00B55623"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поселения</w:t>
      </w:r>
      <w:r w:rsidR="00852F33" w:rsidRPr="00864B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16429" w:rsidRPr="00864B23" w:rsidRDefault="00E04168" w:rsidP="00864B2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 </w:t>
      </w:r>
      <w:r w:rsidR="0081555D"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>13</w:t>
      </w:r>
      <w:r w:rsidR="005063CA"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81555D"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5063CA"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>.2024</w:t>
      </w:r>
      <w:r w:rsidR="00CA3087"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56CD9"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№ </w:t>
      </w:r>
      <w:r w:rsidR="0081555D" w:rsidRPr="0081555D">
        <w:rPr>
          <w:rFonts w:ascii="Times New Roman" w:eastAsia="Times New Roman" w:hAnsi="Times New Roman" w:cs="Times New Roman"/>
          <w:sz w:val="24"/>
          <w:szCs w:val="24"/>
          <w:lang w:bidi="en-US"/>
        </w:rPr>
        <w:t>259</w:t>
      </w:r>
    </w:p>
    <w:p w:rsidR="00EE5497" w:rsidRDefault="00EE5497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E5497" w:rsidRPr="00852F33" w:rsidRDefault="00EE5497" w:rsidP="00EA30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E16429" w:rsidRPr="00852F33" w:rsidRDefault="00E16429" w:rsidP="00EE5497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5B0E7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ПАСПОРТ ПРОГРАММЫ</w:t>
      </w:r>
    </w:p>
    <w:p w:rsidR="00E16429" w:rsidRPr="00852F33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6429" w:rsidRPr="00852F33" w:rsidRDefault="00EF13CC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Паспорт П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комплексного 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>развития социальн</w:t>
      </w:r>
      <w:r w:rsidR="002568C5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ой инфраструктуры </w:t>
      </w:r>
      <w:proofErr w:type="spellStart"/>
      <w:r w:rsidR="002568C5" w:rsidRPr="00852F33">
        <w:rPr>
          <w:rFonts w:ascii="Times New Roman" w:eastAsia="Calibri" w:hAnsi="Times New Roman" w:cs="Times New Roman"/>
          <w:b/>
          <w:sz w:val="26"/>
          <w:szCs w:val="26"/>
        </w:rPr>
        <w:t>Воронцовского</w:t>
      </w:r>
      <w:proofErr w:type="spellEnd"/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2568C5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337"/>
      </w:tblGrid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7" w:type="dxa"/>
          </w:tcPr>
          <w:p w:rsidR="00E16429" w:rsidRPr="005A0A34" w:rsidRDefault="005A0A34" w:rsidP="002322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комплексного развития  социальной инфраструктуры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Воронцовского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на 2017-2030 годы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7" w:type="dxa"/>
          </w:tcPr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Генеральный план </w:t>
            </w:r>
            <w:proofErr w:type="spellStart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852F33" w:rsidRDefault="00E16429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852F33" w:rsidRDefault="002568C5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СНиП 2.07.01.-89*</w:t>
            </w:r>
            <w:r w:rsidR="00E16429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«Градостроительство. Планировка и застройка городских и сельских поселений»;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, его  местонахождения</w:t>
            </w:r>
          </w:p>
        </w:tc>
        <w:tc>
          <w:tcPr>
            <w:tcW w:w="7337" w:type="dxa"/>
            <w:vAlign w:val="center"/>
          </w:tcPr>
          <w:p w:rsidR="00E16429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396440, Воронежская область, Павловский район,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Воронцовка, ул. Советская, 33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Основной разработчик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его местонахождения</w:t>
            </w:r>
          </w:p>
        </w:tc>
        <w:tc>
          <w:tcPr>
            <w:tcW w:w="7337" w:type="dxa"/>
            <w:vAlign w:val="center"/>
          </w:tcPr>
          <w:p w:rsidR="002568C5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396440, Воронежская область, Павловский район,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Воронцовка, ул. Советская, 33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proofErr w:type="spellStart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7" w:tooltip="Социальная инфраструктура" w:history="1"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</w:t>
            </w: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социальн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ой инфраструктуры </w:t>
            </w:r>
            <w:proofErr w:type="spellStart"/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го проектирования </w:t>
            </w:r>
            <w:proofErr w:type="spellStart"/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1555D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55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37" w:type="dxa"/>
          </w:tcPr>
          <w:p w:rsidR="002568C5" w:rsidRPr="0081555D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="00960F8E" w:rsidRPr="0081555D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 и культуры</w:t>
            </w:r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DB7C2F" w:rsidRPr="0081555D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>2.Улучшение эксплуатационного состояния объектов;</w:t>
            </w:r>
          </w:p>
          <w:p w:rsidR="00DB7C2F" w:rsidRPr="0081555D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>3.Обеспечение комфортных и безопасных условий для граждан в учреждениях социальной сферы</w:t>
            </w:r>
          </w:p>
        </w:tc>
      </w:tr>
      <w:tr w:rsidR="005063CA" w:rsidRPr="00852F33" w:rsidTr="002568C5">
        <w:tc>
          <w:tcPr>
            <w:tcW w:w="2234" w:type="dxa"/>
          </w:tcPr>
          <w:p w:rsidR="005063CA" w:rsidRPr="0081555D" w:rsidRDefault="005063CA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555D">
              <w:rPr>
                <w:rFonts w:ascii="Times New Roman" w:eastAsia="Calibri" w:hAnsi="Times New Roman" w:cs="Times New Roman"/>
                <w:sz w:val="26"/>
                <w:szCs w:val="26"/>
              </w:rPr>
              <w:t>Укрупненное описание запланированных мероприятий программы</w:t>
            </w:r>
          </w:p>
        </w:tc>
        <w:tc>
          <w:tcPr>
            <w:tcW w:w="7337" w:type="dxa"/>
          </w:tcPr>
          <w:p w:rsidR="005063CA" w:rsidRPr="0081555D" w:rsidRDefault="005063CA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>- Капитальный ремонт объектов социальной инфраструктуры сельского поселения;</w:t>
            </w:r>
          </w:p>
          <w:p w:rsidR="005063CA" w:rsidRPr="0081555D" w:rsidRDefault="005063CA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Строительство спортивного комплекса </w:t>
            </w:r>
            <w:proofErr w:type="gramStart"/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gramEnd"/>
            <w:r w:rsidRPr="008155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с. Воронцовка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7" w:type="dxa"/>
            <w:vAlign w:val="center"/>
          </w:tcPr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Программы –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-2030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2020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2568C5" w:rsidRPr="00852F33" w:rsidRDefault="002C0596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2020 года по 2030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37" w:type="dxa"/>
          </w:tcPr>
          <w:p w:rsidR="002568C5" w:rsidRPr="00DB7C2F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программных мероприятий за период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-2030 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гг. </w:t>
            </w:r>
            <w:r w:rsidR="00DB7C2F"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>составляет 69 513,0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рублей.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бюджет;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960F8E" w:rsidRPr="00852F33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C5ACC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568C5" w:rsidRPr="00852F33" w:rsidRDefault="00826900" w:rsidP="00BB0C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сельского поселения объектами социальной инфраструктуры </w:t>
            </w:r>
            <w:proofErr w:type="gramStart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852F33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Характеристика существующего состояния социальн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852F33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Описание социально-экономи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ческого состояния </w:t>
      </w:r>
      <w:proofErr w:type="spellStart"/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A69D7" w:rsidRDefault="00852F33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Воронцовское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сельское поселение расположено в северо-восточной части Павловского муниципального района. Административный центр – село Воронцовка. Населенные пункты, входящие в состав поселения: село Воронцовка, поселок Новенький. </w:t>
      </w:r>
    </w:p>
    <w:p w:rsidR="00852F33" w:rsidRPr="00852F33" w:rsidRDefault="00852F33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Территория поселения граничит с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Ливенским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Ерышевским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Александро-Донским, петровским, Александровским и Красным сельскими поселениями Павловского района, а также – с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Бутурлиновским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муниципальным районом. Расстояние от села Воронцовка до областного центра – города Воронежа 196 км. </w:t>
      </w:r>
    </w:p>
    <w:p w:rsidR="00852F33" w:rsidRDefault="00852F33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В настоящее время общая площадь земель в границах муниципального образования составляет </w:t>
      </w:r>
      <w:r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– 24 320,5 га, численность населения – 5 </w:t>
      </w:r>
      <w:r w:rsidR="00B141B7"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273</w:t>
      </w:r>
      <w:r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3C536C" w:rsidRDefault="003C536C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B62CE0" w:rsidRPr="00852F33" w:rsidRDefault="0022587F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Численность трудоспособного населения  - </w:t>
      </w:r>
      <w:r w:rsid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004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что составляет 57,0% численности населения сельского поселения, 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из них:</w:t>
      </w:r>
    </w:p>
    <w:p w:rsidR="00B62CE0" w:rsidRDefault="00B141B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- 837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ловек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работают на территории поселения в сельской сфере;</w:t>
      </w:r>
    </w:p>
    <w:p w:rsidR="00B141B7" w:rsidRPr="00852F33" w:rsidRDefault="00B141B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- 224 человека в промышленности;</w:t>
      </w:r>
    </w:p>
    <w:p w:rsidR="00B62CE0" w:rsidRPr="00852F33" w:rsidRDefault="00B141B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- 317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 в бюджетной сфере;</w:t>
      </w:r>
    </w:p>
    <w:p w:rsidR="00B62CE0" w:rsidRPr="00852F33" w:rsidRDefault="0022587F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- 24%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трудоспособного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аселения работает за пределами сельского поселения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D07224" w:rsidRPr="00852F33" w:rsidRDefault="00D07224" w:rsidP="00B55623">
      <w:pPr>
        <w:pStyle w:val="a4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</w:t>
      </w:r>
      <w:r w:rsidR="00AD6508" w:rsidRPr="00852F33">
        <w:rPr>
          <w:rFonts w:ascii="Times New Roman" w:hAnsi="Times New Roman"/>
          <w:sz w:val="26"/>
          <w:szCs w:val="26"/>
          <w:lang w:val="ru-RU"/>
        </w:rPr>
        <w:t>Уровень регистрируемой безработицы, к численности трудоспособного населения - 0,6 %.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          </w:t>
      </w:r>
    </w:p>
    <w:p w:rsidR="00426639" w:rsidRDefault="00426639" w:rsidP="00B55623">
      <w:pPr>
        <w:pStyle w:val="a4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>Выявлены следующие неблагоприятные тенденции: недостаточно высококвалифицированных кадро</w:t>
      </w:r>
      <w:r w:rsidR="0022587F">
        <w:rPr>
          <w:rFonts w:ascii="Times New Roman" w:hAnsi="Times New Roman"/>
          <w:sz w:val="26"/>
          <w:szCs w:val="26"/>
          <w:lang w:val="ru-RU"/>
        </w:rPr>
        <w:t xml:space="preserve">в; отток молодых кадров 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с более высоким уровнем оплаты.</w:t>
      </w:r>
    </w:p>
    <w:p w:rsidR="00C64D9A" w:rsidRPr="00852F33" w:rsidRDefault="00C64D9A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6429" w:rsidRDefault="00E16429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2.2. Технико-экономические параметры существующих объектов социальн</w:t>
      </w:r>
      <w:r w:rsidR="00507E3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507E3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Default="005A69D7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07E3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наземных, пешеходных и дистанционных, в пределах муниципального образования –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кредитно-финансовые учреждения и предприятия связи, административные организации и другие учреждения и предприятия обслуживания.</w:t>
      </w:r>
    </w:p>
    <w:p w:rsidR="00BD75B5" w:rsidRPr="00BD75B5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BD75B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507E3E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систему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входит:</w:t>
      </w:r>
    </w:p>
    <w:p w:rsidR="00BD75B5" w:rsidRDefault="008B5786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Воронцовский детский сад в селе Воронцовка, емкостью 120 мест, с фактической загрузкой </w:t>
      </w:r>
      <w:r w:rsidR="00720EDD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– 185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человека;</w:t>
      </w:r>
    </w:p>
    <w:p w:rsidR="00BD75B5" w:rsidRPr="00720EDD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Воронцовская</w:t>
      </w:r>
      <w:proofErr w:type="spellEnd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емкостью 784 мес</w:t>
      </w:r>
      <w:r w:rsidR="00720EDD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т, с фактической загрузкой – 536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человек;</w:t>
      </w:r>
    </w:p>
    <w:p w:rsidR="00BD75B5" w:rsidRPr="00720EDD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- Музыкальная школа, емкостью 94 места, с фактической загрузкой – 110 человек;</w:t>
      </w:r>
    </w:p>
    <w:p w:rsidR="00BD75B5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- Дом детского творчества, емкостью 115 мест, с фактической загрузкой – 300 человек.</w:t>
      </w:r>
    </w:p>
    <w:p w:rsidR="00BD75B5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Для школ существует следующий норматив числа мест в общеобразовательных учреждениях – 102 места на 1000 человек; для детских дошкольных учреждений – 34 места на 1000 человек.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емкость</w:t>
      </w:r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школ гораздо выше </w:t>
      </w:r>
      <w:proofErr w:type="gramStart"/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нормативной</w:t>
      </w:r>
      <w:proofErr w:type="gramEnd"/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здравоохранения</w:t>
      </w:r>
    </w:p>
    <w:p w:rsidR="004D00CF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в селе Воронцовка функционирует 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врачебная амбулатория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 с мощностью – 77 посещений/смена,</w:t>
      </w:r>
      <w:r w:rsidR="004D00C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работает станция скорой помощи.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Оценка обеспеченности муниципального образования учреждениями здравоохранения требует специального и достаточно специализированного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медицинского исследования. Доступность амбулаторий, ФАП и аптек в сельской местности принимается в пределах 30 минут, с использованием транспорта – 5000 м.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радиус обслуживания объектов здравоохранения охватывает все населенные пункты поселения.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Основными задачами обеспечения устойчивого развития здравоохранения Воздвиженского сельского поселения на расчетную перспективу остаются: 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предоставление населению бесплатной качественной и своевременной медицинской помощи;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дств в сф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ере;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кратное снижение показателей смертности;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D95CA1" w:rsidRDefault="00D95CA1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91B2A" w:rsidRDefault="00D95CA1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391B2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391B2A" w:rsidRDefault="00391B2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391B2A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статье 14 Федерального закона № 131-ФЗ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 w:rsidR="003C544A">
        <w:rPr>
          <w:rFonts w:ascii="Times New Roman" w:eastAsia="Times New Roman" w:hAnsi="Times New Roman" w:cs="Times New Roman"/>
          <w:sz w:val="26"/>
          <w:szCs w:val="26"/>
          <w:lang w:bidi="en-US"/>
        </w:rPr>
        <w:t>в поселении.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функционируют: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СДК емкостью 450 мест;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Залиманский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клуб емкостью 100 мест;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Зональная библиотек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а с общим книжным фондом – 17 089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томов;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Детская библ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иотека с книжным фондом – 17 919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томов;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Залиманская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библи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отека – с книжным фондом – 7 839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томов.</w:t>
      </w: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соответствии с нормами градостроительного проектирования 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отдуха и культуры.</w:t>
      </w:r>
    </w:p>
    <w:p w:rsidR="005C632E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Перечень спортивных сооружений на территории сельского поселения:</w:t>
      </w:r>
    </w:p>
    <w:p w:rsidR="005C632E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спортивный зал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288 кв.м.;</w:t>
      </w:r>
    </w:p>
    <w:p w:rsidR="005C632E" w:rsidRPr="00720EDD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многофункциональная спортивная площадка при</w:t>
      </w:r>
      <w:r w:rsidR="008B578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B5786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Воронцовской</w:t>
      </w:r>
      <w:proofErr w:type="spellEnd"/>
      <w:r w:rsidR="008B578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2 </w:t>
      </w:r>
      <w:r w:rsidR="008B5786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500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кв.м.;</w:t>
      </w:r>
    </w:p>
    <w:p w:rsidR="005C632E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футбольное поле в парке культуры и отдыха, </w:t>
      </w:r>
      <w:r w:rsidR="00720EDD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площадью 5 600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кв.м.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объектов физкультурно-спортивной направленности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не развита, и имеется один спортивный зал на территории школы, две спортивные площадки.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 территории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принципе нет.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Нехватка спорти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вных сооружений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сегодняшний день является основной проблемой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поселении, которая тормозит дальнейшее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развитие массового спорта и не способствует привлечению большего количества занимающихся физической культурой и спортом.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ортивных объектов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507E3E" w:rsidRDefault="00507E3E" w:rsidP="00C865C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перспективного развития отраслей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социальной сферы </w:t>
      </w:r>
      <w:proofErr w:type="spellStart"/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обеспеченности </w:t>
      </w:r>
      <w:proofErr w:type="spellStart"/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852F33" w:rsidRDefault="00C64D9A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Основным принципом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формирования территор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иальной структуры </w:t>
      </w:r>
      <w:proofErr w:type="spellStart"/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прогнозом численность населения </w:t>
      </w:r>
      <w:proofErr w:type="spellStart"/>
      <w:r w:rsidR="00C64D9A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="005A5F03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к сроку реализации пе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рвой очереди (2020г.) составит 5 310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человек, к расчетном</w:t>
      </w:r>
      <w:r w:rsidR="0097353C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 сроку генерального плана (2030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г.) - 5440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036554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Прогноз демографической структуры населения (по возрастному признаку)</w:t>
      </w:r>
    </w:p>
    <w:p w:rsidR="002322EC" w:rsidRPr="00852F33" w:rsidRDefault="002322EC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851"/>
      </w:tblGrid>
      <w:tr w:rsidR="00036554" w:rsidRPr="00852F33" w:rsidTr="00B55623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(чел.)</w:t>
            </w:r>
          </w:p>
        </w:tc>
        <w:tc>
          <w:tcPr>
            <w:tcW w:w="7546" w:type="dxa"/>
            <w:gridSpan w:val="8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Возрастные группы населения</w:t>
            </w:r>
          </w:p>
        </w:tc>
      </w:tr>
      <w:tr w:rsidR="00036554" w:rsidRPr="00852F33" w:rsidTr="00B55623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036554" w:rsidRPr="00852F33" w:rsidTr="00B55623">
        <w:trPr>
          <w:trHeight w:val="283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На расчетный срок – 2030 г.</w:t>
            </w:r>
          </w:p>
        </w:tc>
      </w:tr>
      <w:tr w:rsidR="00036554" w:rsidRPr="00852F33" w:rsidTr="00B55623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8F1058" w:rsidP="008F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2 462</w:t>
            </w:r>
          </w:p>
        </w:tc>
      </w:tr>
      <w:tr w:rsidR="00036554" w:rsidRPr="00852F33" w:rsidTr="00B55623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C84"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45,26</w:t>
            </w:r>
          </w:p>
        </w:tc>
      </w:tr>
    </w:tbl>
    <w:p w:rsidR="00036554" w:rsidRPr="00852F33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36554" w:rsidRPr="00852F33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852F33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</w:t>
      </w:r>
      <w:r w:rsidR="00B15C84">
        <w:rPr>
          <w:rFonts w:ascii="Times New Roman" w:hAnsi="Times New Roman" w:cs="Times New Roman"/>
          <w:sz w:val="26"/>
          <w:szCs w:val="26"/>
        </w:rPr>
        <w:t xml:space="preserve">прирост населения </w:t>
      </w:r>
      <w:proofErr w:type="spellStart"/>
      <w:r w:rsidR="00B15C84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852F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7"/>
        <w:gridCol w:w="1701"/>
        <w:gridCol w:w="2131"/>
        <w:gridCol w:w="1843"/>
        <w:gridCol w:w="1701"/>
      </w:tblGrid>
      <w:tr w:rsidR="00036554" w:rsidRPr="00B15C84" w:rsidTr="00B55623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036554" w:rsidRPr="00B15C84" w:rsidRDefault="00B34E1D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Воронцовского</w:t>
            </w:r>
            <w:proofErr w:type="spellEnd"/>
            <w:r w:rsidR="00036554"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</w:t>
            </w:r>
            <w:r w:rsid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</w:t>
            </w:r>
            <w:r w:rsidR="009C5D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 w:rsid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036554" w:rsidRPr="00B15C84" w:rsidTr="00B55623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036554" w:rsidRPr="00B15C84" w:rsidTr="00B55623">
        <w:trPr>
          <w:trHeight w:val="375"/>
        </w:trPr>
        <w:tc>
          <w:tcPr>
            <w:tcW w:w="9583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36554" w:rsidRPr="00B15C84" w:rsidRDefault="00B34E1D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Воронцовское</w:t>
            </w:r>
            <w:proofErr w:type="spellEnd"/>
            <w:r w:rsidR="00036554"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5 273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5 310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5 440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5 700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260</w:t>
            </w:r>
          </w:p>
        </w:tc>
      </w:tr>
      <w:tr w:rsidR="00036554" w:rsidRPr="00B15C84" w:rsidTr="00B55623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Воронцовка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5 550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</w:tr>
      <w:tr w:rsidR="00036554" w:rsidRPr="00B15C84" w:rsidTr="00B55623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поселок Новенький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</w:tbl>
    <w:p w:rsidR="00036554" w:rsidRPr="00B15C84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Для целей долгос</w:t>
      </w:r>
      <w:r w:rsidR="000825D5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рочного прогнозирования (до 2045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года) демографическая оценка территории посе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ления принимается на уровне 5 700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уживания населения </w:t>
      </w:r>
      <w:proofErr w:type="spellStart"/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E16429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865C4" w:rsidRPr="00852F33" w:rsidRDefault="00C865C4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A303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2.4. Оценка нормативно-правовой базы, необходимой для функционирования и развития социальн</w:t>
      </w:r>
      <w:r w:rsidR="00C865C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Настоящая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2.4.2.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Развитие сети социальной инфраструктур</w:t>
      </w:r>
      <w:r w:rsidR="009459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ы предусматривается на основании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енерального плана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план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865C4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2.4.3.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социальной инфраструктуры Воздвиженского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спорта используются усредненные нормы и нормативы, представленные в следующей таблице.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7C3B63" w:rsidP="0050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3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Нормативная потребность субъектов Российской Федерации в объекта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х физической культуры и спорта.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9"/>
      </w:tblGrid>
      <w:tr w:rsidR="00E16429" w:rsidRPr="00852F33" w:rsidTr="00B5562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E16429" w:rsidRPr="00852F33" w:rsidTr="00B55623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единовреме</w:t>
            </w:r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ной пропускной способ-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E16429" w:rsidRPr="00852F33" w:rsidTr="00B55623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обеспеченно</w:t>
            </w:r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спортивными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соору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жениями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 видам: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16429" w:rsidRPr="00852F33" w:rsidTr="00B55623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E16429" w:rsidRPr="00852F33" w:rsidTr="00B55623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5A69D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Уровень достижения этих нормативов рассчитан до 2015 года (плавательные бассейны в связи с низкой обеспеченностью до 2050 года). Используя усредненные нормативы с учетом национальных и территориальных особенностей, плотности расселения населения, для обеспечения минимальной двигательной активности населения рассчитываются необходимые площади материально - спортивной базы по трем основным типам спортивных сооружений на 10 000 населения: спортивных залов, плоскостных сооружений, плавательных бассейнов.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2.4.4.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Функционирование и развитие социальной инфраструктуры Воздвиженского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акона от 22 июля 2008 года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2.4.5.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E16429" w:rsidRPr="00852F33" w:rsidRDefault="00E16429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Перечень мероприятий по проектированию, строительству и</w:t>
      </w:r>
    </w:p>
    <w:p w:rsidR="00E16429" w:rsidRPr="00852F33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социальной инфраструктуры</w:t>
      </w:r>
    </w:p>
    <w:p w:rsidR="00E16429" w:rsidRPr="00852F33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E164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42A4F" w:rsidRPr="00567CA8" w:rsidRDefault="00567CA8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4.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379"/>
        <w:gridCol w:w="2410"/>
      </w:tblGrid>
      <w:tr w:rsidR="00771F5E" w:rsidTr="006C4F29">
        <w:trPr>
          <w:trHeight w:val="426"/>
        </w:trPr>
        <w:tc>
          <w:tcPr>
            <w:tcW w:w="817" w:type="dxa"/>
          </w:tcPr>
          <w:p w:rsidR="00771F5E" w:rsidRPr="00E42A4F" w:rsidRDefault="00771F5E" w:rsidP="00771F5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6379" w:type="dxa"/>
          </w:tcPr>
          <w:p w:rsidR="00771F5E" w:rsidRPr="00E42A4F" w:rsidRDefault="00771F5E" w:rsidP="00771F5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771F5E" w:rsidRPr="00E42A4F" w:rsidRDefault="00771F5E" w:rsidP="006C4F29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 реализации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E42A4F" w:rsidRDefault="00706D47" w:rsidP="0081555D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2018-201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Залиманского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клуба</w:t>
            </w:r>
          </w:p>
        </w:tc>
        <w:tc>
          <w:tcPr>
            <w:tcW w:w="2410" w:type="dxa"/>
          </w:tcPr>
          <w:p w:rsidR="00771F5E" w:rsidRPr="00E42A4F" w:rsidRDefault="004D00CF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6C4F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-202</w:t>
            </w:r>
            <w:r w:rsidR="006C4F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410" w:type="dxa"/>
          </w:tcPr>
          <w:p w:rsidR="00771F5E" w:rsidRPr="00E42A4F" w:rsidRDefault="00706D47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410" w:type="dxa"/>
          </w:tcPr>
          <w:p w:rsidR="00771F5E" w:rsidRPr="00E42A4F" w:rsidRDefault="00706D47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Капитальный ремонт музыкальной школы</w:t>
            </w:r>
          </w:p>
        </w:tc>
        <w:tc>
          <w:tcPr>
            <w:tcW w:w="2410" w:type="dxa"/>
          </w:tcPr>
          <w:p w:rsidR="00771F5E" w:rsidRPr="00E42A4F" w:rsidRDefault="00706D47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6C4F29" w:rsidTr="006C4F29">
        <w:tc>
          <w:tcPr>
            <w:tcW w:w="817" w:type="dxa"/>
          </w:tcPr>
          <w:p w:rsidR="006C4F29" w:rsidRDefault="006C4F29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6379" w:type="dxa"/>
          </w:tcPr>
          <w:p w:rsidR="006C4F29" w:rsidRDefault="006C4F29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амбулатории и обеспечение новым оборудованием</w:t>
            </w:r>
          </w:p>
        </w:tc>
        <w:tc>
          <w:tcPr>
            <w:tcW w:w="2410" w:type="dxa"/>
          </w:tcPr>
          <w:p w:rsidR="006C4F29" w:rsidRDefault="006C4F29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2022-2024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6C4F29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2410" w:type="dxa"/>
          </w:tcPr>
          <w:p w:rsidR="00771F5E" w:rsidRPr="00E42A4F" w:rsidRDefault="006C4F29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-2030</w:t>
            </w:r>
          </w:p>
        </w:tc>
      </w:tr>
    </w:tbl>
    <w:p w:rsidR="00E42A4F" w:rsidRDefault="00E42A4F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, строительству, капитальному ремонту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852F33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C3B63" w:rsidRDefault="00D72B8B" w:rsidP="006C4F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5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строительству, капитальному ремонту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215ABF" w:rsidRPr="00852F33" w:rsidRDefault="00215ABF" w:rsidP="00567CA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5"/>
        <w:gridCol w:w="2186"/>
        <w:gridCol w:w="2126"/>
        <w:gridCol w:w="1930"/>
      </w:tblGrid>
      <w:tr w:rsidR="00215ABF" w:rsidRPr="00852F33" w:rsidTr="00B34E1D">
        <w:tc>
          <w:tcPr>
            <w:tcW w:w="606" w:type="dxa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845" w:type="dxa"/>
            <w:vAlign w:val="center"/>
          </w:tcPr>
          <w:p w:rsidR="00215ABF" w:rsidRPr="00215ABF" w:rsidRDefault="00215ABF" w:rsidP="0021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218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Объемы финансирования (тыс. рублей) </w:t>
            </w:r>
          </w:p>
        </w:tc>
        <w:tc>
          <w:tcPr>
            <w:tcW w:w="212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Источники финансирования</w:t>
            </w:r>
          </w:p>
        </w:tc>
        <w:tc>
          <w:tcPr>
            <w:tcW w:w="1930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Программа</w:t>
            </w:r>
          </w:p>
        </w:tc>
      </w:tr>
      <w:tr w:rsidR="00EB206F" w:rsidRPr="00852F33" w:rsidTr="00B34E1D">
        <w:tc>
          <w:tcPr>
            <w:tcW w:w="606" w:type="dxa"/>
          </w:tcPr>
          <w:p w:rsidR="00EB206F" w:rsidRPr="00215ABF" w:rsidRDefault="00EB206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087" w:type="dxa"/>
            <w:gridSpan w:val="4"/>
          </w:tcPr>
          <w:p w:rsidR="00EB206F" w:rsidRPr="00EB206F" w:rsidRDefault="00EB206F" w:rsidP="00CF5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186" w:type="dxa"/>
          </w:tcPr>
          <w:p w:rsidR="00720EDD" w:rsidRPr="00464868" w:rsidRDefault="00AD5E9F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918,0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186" w:type="dxa"/>
          </w:tcPr>
          <w:p w:rsidR="00720EDD" w:rsidRPr="00464868" w:rsidRDefault="00AD5E9F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185,0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1.3.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Капитальный ремонт музыкальной школы</w:t>
            </w:r>
          </w:p>
        </w:tc>
        <w:tc>
          <w:tcPr>
            <w:tcW w:w="2186" w:type="dxa"/>
          </w:tcPr>
          <w:p w:rsidR="00720EDD" w:rsidRPr="00464868" w:rsidRDefault="00720EDD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DB7C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  <w:r w:rsidR="00DB7C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186" w:type="dxa"/>
            <w:tcBorders>
              <w:top w:val="nil"/>
            </w:tcBorders>
          </w:tcPr>
          <w:p w:rsidR="00720EDD" w:rsidRPr="00464868" w:rsidRDefault="00720EDD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8 275,0</w:t>
            </w:r>
          </w:p>
        </w:tc>
        <w:tc>
          <w:tcPr>
            <w:tcW w:w="2126" w:type="dxa"/>
            <w:tcBorders>
              <w:top w:val="nil"/>
            </w:tcBorders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Залиманского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клуба</w:t>
            </w:r>
          </w:p>
        </w:tc>
        <w:tc>
          <w:tcPr>
            <w:tcW w:w="2186" w:type="dxa"/>
          </w:tcPr>
          <w:p w:rsidR="00720EDD" w:rsidRPr="00464868" w:rsidRDefault="006C4F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315,0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720EDD" w:rsidRPr="00852F33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2845" w:type="dxa"/>
          </w:tcPr>
          <w:p w:rsidR="00720EDD" w:rsidRPr="00464868" w:rsidRDefault="00720EDD" w:rsidP="00BA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2186" w:type="dxa"/>
          </w:tcPr>
          <w:p w:rsidR="00720EDD" w:rsidRPr="00464868" w:rsidRDefault="006C4F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470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6C4F29" w:rsidRPr="00852F33" w:rsidTr="00CF5A36">
        <w:tc>
          <w:tcPr>
            <w:tcW w:w="606" w:type="dxa"/>
          </w:tcPr>
          <w:p w:rsidR="006C4F29" w:rsidRPr="00464868" w:rsidRDefault="006C4F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9087" w:type="dxa"/>
            <w:gridSpan w:val="4"/>
          </w:tcPr>
          <w:p w:rsidR="006C4F29" w:rsidRPr="00464868" w:rsidRDefault="006C4F29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Объекты социальной инфраструктуры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здравоохранения</w:t>
            </w:r>
          </w:p>
        </w:tc>
      </w:tr>
      <w:tr w:rsidR="006C4F29" w:rsidRPr="00852F33" w:rsidTr="00B34E1D">
        <w:tc>
          <w:tcPr>
            <w:tcW w:w="606" w:type="dxa"/>
          </w:tcPr>
          <w:p w:rsidR="006C4F29" w:rsidRPr="00464868" w:rsidRDefault="006C4F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4.1.</w:t>
            </w:r>
          </w:p>
        </w:tc>
        <w:tc>
          <w:tcPr>
            <w:tcW w:w="2845" w:type="dxa"/>
          </w:tcPr>
          <w:p w:rsidR="006C4F29" w:rsidRDefault="006C4F29" w:rsidP="00B079C6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амбулатории и обеспечение новым</w:t>
            </w:r>
            <w:r w:rsidR="00B079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современным медицинским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оборудованием</w:t>
            </w:r>
          </w:p>
        </w:tc>
        <w:tc>
          <w:tcPr>
            <w:tcW w:w="2186" w:type="dxa"/>
          </w:tcPr>
          <w:p w:rsidR="006C4F29" w:rsidRPr="00464868" w:rsidRDefault="00AD5E9F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2126" w:type="dxa"/>
          </w:tcPr>
          <w:p w:rsidR="006C4F29" w:rsidRPr="00464868" w:rsidRDefault="006C4F29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6C4F29" w:rsidRPr="00464868" w:rsidRDefault="006C4F29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</w:tbl>
    <w:p w:rsidR="00692F3F" w:rsidRDefault="00692F3F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F18D4" w:rsidRPr="008F18D4" w:rsidRDefault="008F18D4" w:rsidP="008F18D4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Целевые индикаторы программы</w:t>
      </w:r>
    </w:p>
    <w:p w:rsidR="008F18D4" w:rsidRDefault="008F18D4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Целью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программы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комплексного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Павловского муниципального района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2017 - 2030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годы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является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обеспечение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сбалансированного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перспективного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 xml:space="preserve"> 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соответствии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установленными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потребностями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объектах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B55623" w:rsidRPr="008F18D4" w:rsidRDefault="00B55623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A303C" w:rsidRPr="008F18D4" w:rsidRDefault="008F18D4" w:rsidP="00B556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6. </w:t>
      </w:r>
      <w:r w:rsidR="00EA303C">
        <w:rPr>
          <w:rFonts w:ascii="Times New Roman" w:eastAsia="Times New Roman" w:hAnsi="Times New Roman" w:cs="Times New Roman"/>
          <w:sz w:val="26"/>
          <w:szCs w:val="26"/>
          <w:lang w:bidi="en-US"/>
        </w:rPr>
        <w:t>Целевые индикаторы программ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</w:tblGrid>
      <w:tr w:rsidR="00CF5A36" w:rsidRPr="00EA303C" w:rsidTr="00CF5A36">
        <w:tc>
          <w:tcPr>
            <w:tcW w:w="568" w:type="dxa"/>
            <w:vMerge w:val="restart"/>
            <w:vAlign w:val="center"/>
          </w:tcPr>
          <w:p w:rsidR="00CF5A36" w:rsidRPr="00CF5A36" w:rsidRDefault="00CF5A36" w:rsidP="00B5562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6378" w:type="dxa"/>
            <w:gridSpan w:val="9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Ожидаемые результаты, по которым достигаются целевые показатели</w:t>
            </w:r>
          </w:p>
        </w:tc>
      </w:tr>
      <w:tr w:rsidR="00CF5A36" w:rsidRPr="00EA303C" w:rsidTr="00CF5A36">
        <w:trPr>
          <w:trHeight w:val="982"/>
        </w:trPr>
        <w:tc>
          <w:tcPr>
            <w:tcW w:w="568" w:type="dxa"/>
            <w:vMerge/>
          </w:tcPr>
          <w:p w:rsidR="00CF5A36" w:rsidRPr="00CF5A36" w:rsidRDefault="00CF5A36" w:rsidP="008F18D4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</w:t>
            </w:r>
          </w:p>
        </w:tc>
        <w:tc>
          <w:tcPr>
            <w:tcW w:w="567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850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2025-2030</w:t>
            </w:r>
          </w:p>
        </w:tc>
      </w:tr>
      <w:tr w:rsidR="00CF5A36" w:rsidRPr="00EA303C" w:rsidTr="00CF5A36">
        <w:trPr>
          <w:trHeight w:val="1409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объектов образования, соответствующих нормативным стандартам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CF5A36" w:rsidRPr="00EA303C" w:rsidTr="00CF5A36">
        <w:trPr>
          <w:trHeight w:val="947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Удельный вес населения, участвующего в культурно-досуговых мероприятиях и клубных формированиях</w:t>
            </w:r>
          </w:p>
        </w:tc>
        <w:tc>
          <w:tcPr>
            <w:tcW w:w="709" w:type="dxa"/>
          </w:tcPr>
          <w:p w:rsidR="00CF5A36" w:rsidRPr="00CF5A36" w:rsidRDefault="00CF5A36" w:rsidP="00F00E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CF5A36" w:rsidRPr="00EA303C" w:rsidTr="00CF5A36"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CF5A36" w:rsidRPr="00EA303C" w:rsidTr="00CF5A36">
        <w:trPr>
          <w:trHeight w:val="70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обеспеченности населения услугами здравоохранения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ind w:left="-3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</w:tbl>
    <w:p w:rsidR="008F18D4" w:rsidRPr="00852F33" w:rsidRDefault="008F18D4" w:rsidP="0086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863BC2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Оценка эффективности мероприятий по проектирован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ию, строительству, 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A69D7" w:rsidRPr="00852F33" w:rsidRDefault="005A69D7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эффективности мероприятия по проектирован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ию, строительству, капитальному ремонту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объектов социальной инфрастр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образования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D342A" w:rsidRPr="00567CA8" w:rsidRDefault="00B55623" w:rsidP="00B556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Таблица 7</w:t>
      </w:r>
      <w:r w:rsidR="00567CA8" w:rsidRPr="00567CA8">
        <w:rPr>
          <w:rFonts w:ascii="Times New Roman" w:eastAsia="Calibri" w:hAnsi="Times New Roman" w:cs="Times New Roman"/>
          <w:sz w:val="26"/>
          <w:szCs w:val="26"/>
          <w:lang w:bidi="en-US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828"/>
        <w:gridCol w:w="5103"/>
      </w:tblGrid>
      <w:tr w:rsidR="000D342A" w:rsidTr="00B34E1D">
        <w:tc>
          <w:tcPr>
            <w:tcW w:w="675" w:type="dxa"/>
          </w:tcPr>
          <w:p w:rsidR="00485281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0D342A" w:rsidRPr="000D342A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3828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Оценка эфф</w:t>
            </w:r>
            <w:r w:rsidR="004852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ективности мероприятий</w:t>
            </w:r>
          </w:p>
        </w:tc>
      </w:tr>
      <w:tr w:rsidR="00485281" w:rsidTr="00B34E1D">
        <w:tc>
          <w:tcPr>
            <w:tcW w:w="675" w:type="dxa"/>
          </w:tcPr>
          <w:p w:rsidR="00485281" w:rsidRPr="000D342A" w:rsidRDefault="00485281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931" w:type="dxa"/>
            <w:gridSpan w:val="2"/>
          </w:tcPr>
          <w:p w:rsidR="00485281" w:rsidRPr="00EB206F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5103" w:type="dxa"/>
          </w:tcPr>
          <w:p w:rsidR="00485281" w:rsidRPr="00E22B48" w:rsidRDefault="00E22B48" w:rsidP="00E22B48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5103" w:type="dxa"/>
          </w:tcPr>
          <w:p w:rsidR="00485281" w:rsidRPr="00E22B48" w:rsidRDefault="00E22B48" w:rsidP="00E22B48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населения в потребности устройства детей в дошкольные учреждения и большего охвата дошкольников общественным воспитанием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1.3.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Капитальный ремонт музыкальной школы</w:t>
            </w:r>
          </w:p>
        </w:tc>
        <w:tc>
          <w:tcPr>
            <w:tcW w:w="5103" w:type="dxa"/>
          </w:tcPr>
          <w:p w:rsidR="00E22B48" w:rsidRPr="00E22B48" w:rsidRDefault="00E22B48" w:rsidP="00CF5A36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5103" w:type="dxa"/>
          </w:tcPr>
          <w:p w:rsidR="00E22B48" w:rsidRPr="00E22B48" w:rsidRDefault="00E22B48" w:rsidP="00E2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Залиманского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клуба</w:t>
            </w:r>
          </w:p>
        </w:tc>
        <w:tc>
          <w:tcPr>
            <w:tcW w:w="5103" w:type="dxa"/>
          </w:tcPr>
          <w:p w:rsidR="00E22B48" w:rsidRPr="00E22B48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5103" w:type="dxa"/>
          </w:tcPr>
          <w:p w:rsidR="00E22B48" w:rsidRPr="00E22B48" w:rsidRDefault="00CF5A36" w:rsidP="00406DF2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r w:rsidR="00E22B48"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  <w:tr w:rsidR="00B079C6" w:rsidRPr="00E22B48" w:rsidTr="00CF5A36">
        <w:tc>
          <w:tcPr>
            <w:tcW w:w="675" w:type="dxa"/>
          </w:tcPr>
          <w:p w:rsidR="00B079C6" w:rsidRPr="00E22B48" w:rsidRDefault="00B079C6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8931" w:type="dxa"/>
            <w:gridSpan w:val="2"/>
          </w:tcPr>
          <w:p w:rsidR="00B079C6" w:rsidRPr="00E22B48" w:rsidRDefault="00B079C6" w:rsidP="00406DF2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B079C6" w:rsidRPr="00E22B48" w:rsidTr="00B34E1D">
        <w:tc>
          <w:tcPr>
            <w:tcW w:w="675" w:type="dxa"/>
          </w:tcPr>
          <w:p w:rsidR="00B079C6" w:rsidRPr="00E22B48" w:rsidRDefault="00B079C6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4.1.</w:t>
            </w:r>
          </w:p>
        </w:tc>
        <w:tc>
          <w:tcPr>
            <w:tcW w:w="3828" w:type="dxa"/>
          </w:tcPr>
          <w:p w:rsidR="00B079C6" w:rsidRPr="00E22B48" w:rsidRDefault="00B079C6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амбулатории и обеспечение новым современным медицинским оборудованием</w:t>
            </w:r>
          </w:p>
        </w:tc>
        <w:tc>
          <w:tcPr>
            <w:tcW w:w="5103" w:type="dxa"/>
          </w:tcPr>
          <w:p w:rsidR="00B079C6" w:rsidRPr="00E22B48" w:rsidRDefault="00CF5A36" w:rsidP="00406DF2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Повышение уровня обеспеченности населения медицинскими услугами</w:t>
            </w:r>
          </w:p>
        </w:tc>
      </w:tr>
    </w:tbl>
    <w:p w:rsidR="00464868" w:rsidRPr="00E22B48" w:rsidRDefault="00464868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E22B48" w:rsidRDefault="00CF5A36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Предложения по совершенствованию нормативно-правового и информационного обеспечения деятельности в сфере проектирован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ия, строительства, капитального ремонта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D72B8B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D72B8B" w:rsidRPr="00E22B48" w:rsidRDefault="00D72B8B" w:rsidP="00E1642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A14BFD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</w:t>
      </w: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правовых актов Павловского муниципального района и </w:t>
      </w:r>
      <w:proofErr w:type="spellStart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A69D7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</w:t>
      </w:r>
      <w:r w:rsidR="005A69D7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0C0356" w:rsidRPr="00E22B48" w:rsidRDefault="000C0356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864B23" w:rsidRPr="00864B23" w:rsidTr="0041194D">
        <w:tc>
          <w:tcPr>
            <w:tcW w:w="5495" w:type="dxa"/>
            <w:shd w:val="clear" w:color="auto" w:fill="auto"/>
          </w:tcPr>
          <w:p w:rsidR="00864B23" w:rsidRPr="00864B23" w:rsidRDefault="00864B23" w:rsidP="0041194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поселения</w:t>
            </w:r>
          </w:p>
          <w:p w:rsidR="00864B23" w:rsidRPr="00864B23" w:rsidRDefault="00864B23" w:rsidP="0041194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64B23">
              <w:rPr>
                <w:rFonts w:ascii="Times New Roman" w:hAnsi="Times New Roman"/>
                <w:sz w:val="26"/>
                <w:szCs w:val="26"/>
                <w:lang w:val="ru-RU"/>
              </w:rPr>
              <w:t>Павловского муниципального района</w:t>
            </w:r>
          </w:p>
          <w:p w:rsidR="00864B23" w:rsidRPr="00864B23" w:rsidRDefault="00864B23" w:rsidP="0041194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B23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proofErr w:type="spellEnd"/>
            <w:r w:rsidRPr="00864B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4B23">
              <w:rPr>
                <w:rFonts w:ascii="Times New Roman" w:hAnsi="Times New Roman"/>
                <w:sz w:val="26"/>
                <w:szCs w:val="26"/>
              </w:rPr>
              <w:t>области</w:t>
            </w:r>
            <w:proofErr w:type="spellEnd"/>
            <w:r w:rsidRPr="00864B23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4252" w:type="dxa"/>
            <w:shd w:val="clear" w:color="auto" w:fill="auto"/>
          </w:tcPr>
          <w:p w:rsidR="00864B23" w:rsidRPr="00864B23" w:rsidRDefault="00864B23" w:rsidP="0041194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864B23" w:rsidRPr="00864B23" w:rsidRDefault="00864B23" w:rsidP="0041194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64B23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 w:rsidR="00864B23" w:rsidRPr="00864B23" w:rsidRDefault="00864B23" w:rsidP="0041194D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B23">
              <w:rPr>
                <w:rFonts w:ascii="Times New Roman" w:hAnsi="Times New Roman"/>
                <w:sz w:val="26"/>
                <w:szCs w:val="26"/>
              </w:rPr>
              <w:t>Е.И.Ржевская</w:t>
            </w:r>
            <w:proofErr w:type="spellEnd"/>
          </w:p>
        </w:tc>
      </w:tr>
    </w:tbl>
    <w:p w:rsidR="00864B23" w:rsidRPr="00864B23" w:rsidRDefault="00864B23" w:rsidP="00864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64B23" w:rsidRPr="00864B23" w:rsidTr="0041194D">
        <w:tc>
          <w:tcPr>
            <w:tcW w:w="5211" w:type="dxa"/>
            <w:vAlign w:val="bottom"/>
            <w:hideMark/>
          </w:tcPr>
          <w:p w:rsidR="00864B23" w:rsidRPr="00864B23" w:rsidRDefault="00864B23" w:rsidP="0041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народных депутатов </w:t>
            </w:r>
          </w:p>
          <w:p w:rsidR="00864B23" w:rsidRPr="00864B23" w:rsidRDefault="00864B23" w:rsidP="0041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23"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64B2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864B23" w:rsidRPr="00864B23" w:rsidRDefault="00864B23" w:rsidP="0041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23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864B23" w:rsidRPr="00864B23" w:rsidRDefault="00864B23" w:rsidP="0041194D">
            <w:pPr>
              <w:pStyle w:val="af3"/>
              <w:tabs>
                <w:tab w:val="left" w:pos="1080"/>
              </w:tabs>
              <w:spacing w:after="0"/>
              <w:ind w:right="-83"/>
              <w:jc w:val="both"/>
              <w:rPr>
                <w:bCs/>
                <w:sz w:val="26"/>
                <w:szCs w:val="26"/>
              </w:rPr>
            </w:pPr>
            <w:r w:rsidRPr="00864B23">
              <w:rPr>
                <w:sz w:val="26"/>
                <w:szCs w:val="26"/>
              </w:rPr>
              <w:t xml:space="preserve">Воронежской области                                                                                   </w:t>
            </w:r>
          </w:p>
        </w:tc>
        <w:tc>
          <w:tcPr>
            <w:tcW w:w="4536" w:type="dxa"/>
            <w:vAlign w:val="bottom"/>
          </w:tcPr>
          <w:p w:rsidR="00864B23" w:rsidRPr="00864B23" w:rsidRDefault="00864B23" w:rsidP="0041194D">
            <w:pPr>
              <w:pStyle w:val="af3"/>
              <w:tabs>
                <w:tab w:val="left" w:pos="1080"/>
              </w:tabs>
              <w:spacing w:after="0"/>
              <w:ind w:right="-83"/>
              <w:jc w:val="both"/>
              <w:rPr>
                <w:sz w:val="26"/>
                <w:szCs w:val="26"/>
              </w:rPr>
            </w:pPr>
          </w:p>
          <w:p w:rsidR="00864B23" w:rsidRPr="00864B23" w:rsidRDefault="00864B23" w:rsidP="0041194D">
            <w:pPr>
              <w:pStyle w:val="af3"/>
              <w:tabs>
                <w:tab w:val="left" w:pos="1080"/>
              </w:tabs>
              <w:spacing w:after="0"/>
              <w:ind w:right="-83"/>
              <w:jc w:val="both"/>
              <w:rPr>
                <w:sz w:val="26"/>
                <w:szCs w:val="26"/>
              </w:rPr>
            </w:pPr>
          </w:p>
          <w:p w:rsidR="00864B23" w:rsidRPr="00864B23" w:rsidRDefault="00864B23" w:rsidP="0041194D">
            <w:pPr>
              <w:pStyle w:val="af3"/>
              <w:tabs>
                <w:tab w:val="left" w:pos="1080"/>
              </w:tabs>
              <w:spacing w:after="0"/>
              <w:ind w:right="-83"/>
              <w:jc w:val="right"/>
              <w:rPr>
                <w:bCs/>
                <w:sz w:val="26"/>
                <w:szCs w:val="26"/>
              </w:rPr>
            </w:pPr>
            <w:proofErr w:type="spellStart"/>
            <w:r w:rsidRPr="00864B23">
              <w:rPr>
                <w:sz w:val="26"/>
                <w:szCs w:val="26"/>
              </w:rPr>
              <w:t>Г.Н.Дроздова</w:t>
            </w:r>
            <w:proofErr w:type="spellEnd"/>
          </w:p>
        </w:tc>
      </w:tr>
    </w:tbl>
    <w:p w:rsidR="00864B23" w:rsidRPr="00864B23" w:rsidRDefault="00864B23" w:rsidP="00864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CA8" w:rsidRPr="00567CA8" w:rsidRDefault="00567CA8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sectPr w:rsidR="00567CA8" w:rsidRPr="00567CA8" w:rsidSect="00864B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E47"/>
    <w:multiLevelType w:val="hybridMultilevel"/>
    <w:tmpl w:val="2E14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3EFA"/>
    <w:multiLevelType w:val="hybridMultilevel"/>
    <w:tmpl w:val="6626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1436"/>
    <w:rsid w:val="000038CA"/>
    <w:rsid w:val="00011B96"/>
    <w:rsid w:val="00030FFC"/>
    <w:rsid w:val="00036554"/>
    <w:rsid w:val="000714C2"/>
    <w:rsid w:val="000825D5"/>
    <w:rsid w:val="000A2653"/>
    <w:rsid w:val="000B5BAB"/>
    <w:rsid w:val="000C0356"/>
    <w:rsid w:val="000D342A"/>
    <w:rsid w:val="000E447D"/>
    <w:rsid w:val="001375BE"/>
    <w:rsid w:val="00141404"/>
    <w:rsid w:val="0017128C"/>
    <w:rsid w:val="001A4F42"/>
    <w:rsid w:val="001D51E6"/>
    <w:rsid w:val="001F138A"/>
    <w:rsid w:val="00213197"/>
    <w:rsid w:val="00213B5E"/>
    <w:rsid w:val="00214A78"/>
    <w:rsid w:val="00215ABF"/>
    <w:rsid w:val="0022587F"/>
    <w:rsid w:val="002322EC"/>
    <w:rsid w:val="002568C5"/>
    <w:rsid w:val="00297C1D"/>
    <w:rsid w:val="002B3792"/>
    <w:rsid w:val="002C0596"/>
    <w:rsid w:val="003021E8"/>
    <w:rsid w:val="003352D0"/>
    <w:rsid w:val="003438AA"/>
    <w:rsid w:val="00391B2A"/>
    <w:rsid w:val="003C536C"/>
    <w:rsid w:val="003C544A"/>
    <w:rsid w:val="00406DF2"/>
    <w:rsid w:val="00420DB7"/>
    <w:rsid w:val="00426639"/>
    <w:rsid w:val="00464868"/>
    <w:rsid w:val="00465745"/>
    <w:rsid w:val="00485281"/>
    <w:rsid w:val="004D00CF"/>
    <w:rsid w:val="004F3A95"/>
    <w:rsid w:val="004F5CE2"/>
    <w:rsid w:val="00501C12"/>
    <w:rsid w:val="005022D6"/>
    <w:rsid w:val="005063CA"/>
    <w:rsid w:val="00507E3E"/>
    <w:rsid w:val="00567CA8"/>
    <w:rsid w:val="0057206D"/>
    <w:rsid w:val="005A0A34"/>
    <w:rsid w:val="005A5F03"/>
    <w:rsid w:val="005A69D7"/>
    <w:rsid w:val="005B0E77"/>
    <w:rsid w:val="005B119B"/>
    <w:rsid w:val="005C632E"/>
    <w:rsid w:val="006208A1"/>
    <w:rsid w:val="00654930"/>
    <w:rsid w:val="00661A43"/>
    <w:rsid w:val="00676F0B"/>
    <w:rsid w:val="00692F3F"/>
    <w:rsid w:val="006C4F29"/>
    <w:rsid w:val="006E0A9E"/>
    <w:rsid w:val="00706D47"/>
    <w:rsid w:val="00720EDD"/>
    <w:rsid w:val="007247CC"/>
    <w:rsid w:val="00736802"/>
    <w:rsid w:val="00745111"/>
    <w:rsid w:val="0075158A"/>
    <w:rsid w:val="00754856"/>
    <w:rsid w:val="00757C6F"/>
    <w:rsid w:val="00771F5E"/>
    <w:rsid w:val="007A6104"/>
    <w:rsid w:val="007C3B63"/>
    <w:rsid w:val="007D1D23"/>
    <w:rsid w:val="007D622D"/>
    <w:rsid w:val="007D72A9"/>
    <w:rsid w:val="007E15D5"/>
    <w:rsid w:val="00801CFC"/>
    <w:rsid w:val="008042AE"/>
    <w:rsid w:val="0081555D"/>
    <w:rsid w:val="00826900"/>
    <w:rsid w:val="008400A8"/>
    <w:rsid w:val="00852F33"/>
    <w:rsid w:val="00856CD9"/>
    <w:rsid w:val="00863BC2"/>
    <w:rsid w:val="00864B23"/>
    <w:rsid w:val="00880857"/>
    <w:rsid w:val="008A5311"/>
    <w:rsid w:val="008B5786"/>
    <w:rsid w:val="008C5ACC"/>
    <w:rsid w:val="008F1058"/>
    <w:rsid w:val="008F18D4"/>
    <w:rsid w:val="00945912"/>
    <w:rsid w:val="00960F8E"/>
    <w:rsid w:val="009670B3"/>
    <w:rsid w:val="0097353C"/>
    <w:rsid w:val="009C5D7D"/>
    <w:rsid w:val="009C6EAB"/>
    <w:rsid w:val="009D23AE"/>
    <w:rsid w:val="009E3274"/>
    <w:rsid w:val="009F20D9"/>
    <w:rsid w:val="00A14BFD"/>
    <w:rsid w:val="00A30A02"/>
    <w:rsid w:val="00A6482D"/>
    <w:rsid w:val="00AA5F68"/>
    <w:rsid w:val="00AD5E9F"/>
    <w:rsid w:val="00AD6508"/>
    <w:rsid w:val="00B079C6"/>
    <w:rsid w:val="00B141B7"/>
    <w:rsid w:val="00B15C84"/>
    <w:rsid w:val="00B34E1D"/>
    <w:rsid w:val="00B36798"/>
    <w:rsid w:val="00B55623"/>
    <w:rsid w:val="00B62CE0"/>
    <w:rsid w:val="00BA5573"/>
    <w:rsid w:val="00BA6A50"/>
    <w:rsid w:val="00BA7D9C"/>
    <w:rsid w:val="00BB0CF0"/>
    <w:rsid w:val="00BD75B5"/>
    <w:rsid w:val="00C150D6"/>
    <w:rsid w:val="00C621E1"/>
    <w:rsid w:val="00C64D9A"/>
    <w:rsid w:val="00C77E73"/>
    <w:rsid w:val="00C865C4"/>
    <w:rsid w:val="00CA1A18"/>
    <w:rsid w:val="00CA3087"/>
    <w:rsid w:val="00CD5324"/>
    <w:rsid w:val="00CF5A36"/>
    <w:rsid w:val="00D0261C"/>
    <w:rsid w:val="00D07224"/>
    <w:rsid w:val="00D07F23"/>
    <w:rsid w:val="00D53EBD"/>
    <w:rsid w:val="00D60B12"/>
    <w:rsid w:val="00D6121E"/>
    <w:rsid w:val="00D675C8"/>
    <w:rsid w:val="00D72B8B"/>
    <w:rsid w:val="00D95CA1"/>
    <w:rsid w:val="00DB7C2F"/>
    <w:rsid w:val="00DC7E26"/>
    <w:rsid w:val="00DF04C2"/>
    <w:rsid w:val="00E04168"/>
    <w:rsid w:val="00E16429"/>
    <w:rsid w:val="00E22B48"/>
    <w:rsid w:val="00E34861"/>
    <w:rsid w:val="00E42A4F"/>
    <w:rsid w:val="00E61436"/>
    <w:rsid w:val="00E7106F"/>
    <w:rsid w:val="00EA303C"/>
    <w:rsid w:val="00EB206F"/>
    <w:rsid w:val="00EE5497"/>
    <w:rsid w:val="00EF13CC"/>
    <w:rsid w:val="00F00E4D"/>
    <w:rsid w:val="00F41CB9"/>
    <w:rsid w:val="00F55355"/>
    <w:rsid w:val="00F61D76"/>
    <w:rsid w:val="00F776FE"/>
    <w:rsid w:val="00FA7559"/>
    <w:rsid w:val="00FB722A"/>
    <w:rsid w:val="00FC2C97"/>
    <w:rsid w:val="00FC2D2F"/>
    <w:rsid w:val="00FD230C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C8"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otcialmznaya_infrastruk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6DDD-75F0-4C56-8ADD-DD15AABE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13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2017-02-01T12:12:00Z</cp:lastPrinted>
  <dcterms:created xsi:type="dcterms:W3CDTF">2016-04-27T10:38:00Z</dcterms:created>
  <dcterms:modified xsi:type="dcterms:W3CDTF">2024-09-13T10:22:00Z</dcterms:modified>
</cp:coreProperties>
</file>