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46" w:rsidRPr="00E05B2A" w:rsidRDefault="00396046" w:rsidP="00396046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05B2A">
        <w:rPr>
          <w:bCs w:val="0"/>
          <w:sz w:val="28"/>
          <w:szCs w:val="28"/>
        </w:rPr>
        <w:t xml:space="preserve">Совет народных депутатов </w:t>
      </w:r>
      <w:proofErr w:type="spellStart"/>
      <w:r w:rsidRPr="00E05B2A">
        <w:rPr>
          <w:bCs w:val="0"/>
          <w:sz w:val="28"/>
          <w:szCs w:val="28"/>
        </w:rPr>
        <w:t>Воронцовского</w:t>
      </w:r>
      <w:proofErr w:type="spellEnd"/>
      <w:r w:rsidRPr="00E05B2A">
        <w:rPr>
          <w:bCs w:val="0"/>
          <w:sz w:val="28"/>
          <w:szCs w:val="28"/>
        </w:rPr>
        <w:t xml:space="preserve"> сельского поселения</w:t>
      </w:r>
    </w:p>
    <w:p w:rsidR="00396046" w:rsidRPr="00E05B2A" w:rsidRDefault="00396046" w:rsidP="00396046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E05B2A">
        <w:rPr>
          <w:bCs w:val="0"/>
          <w:sz w:val="28"/>
          <w:szCs w:val="28"/>
        </w:rPr>
        <w:t xml:space="preserve"> Павловского муниципального района </w:t>
      </w:r>
    </w:p>
    <w:p w:rsidR="00396046" w:rsidRPr="00E05B2A" w:rsidRDefault="00396046" w:rsidP="00396046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E05B2A">
        <w:rPr>
          <w:bCs w:val="0"/>
          <w:sz w:val="28"/>
          <w:szCs w:val="28"/>
        </w:rPr>
        <w:t>Воронежской области</w:t>
      </w:r>
    </w:p>
    <w:p w:rsidR="00396046" w:rsidRPr="00E05B2A" w:rsidRDefault="00396046" w:rsidP="0039604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396046" w:rsidRPr="00E05B2A" w:rsidRDefault="00396046" w:rsidP="00396046">
      <w:pPr>
        <w:pStyle w:val="2"/>
        <w:jc w:val="center"/>
        <w:rPr>
          <w:spacing w:val="120"/>
          <w:sz w:val="30"/>
          <w:szCs w:val="30"/>
        </w:rPr>
      </w:pPr>
      <w:r w:rsidRPr="00E05B2A">
        <w:rPr>
          <w:spacing w:val="120"/>
          <w:sz w:val="30"/>
          <w:szCs w:val="30"/>
        </w:rPr>
        <w:t>РЕШЕНИЕ</w:t>
      </w:r>
    </w:p>
    <w:p w:rsidR="00396046" w:rsidRPr="00E05B2A" w:rsidRDefault="00396046" w:rsidP="00396046">
      <w:pPr>
        <w:pBdr>
          <w:bottom w:val="thinThickSmallGap" w:sz="24" w:space="1" w:color="auto"/>
        </w:pBdr>
        <w:spacing w:after="0" w:line="240" w:lineRule="auto"/>
        <w:rPr>
          <w:b/>
          <w:sz w:val="30"/>
          <w:szCs w:val="30"/>
        </w:rPr>
      </w:pPr>
    </w:p>
    <w:p w:rsidR="00396046" w:rsidRPr="00E05B2A" w:rsidRDefault="00396046" w:rsidP="00396046">
      <w:pPr>
        <w:pBdr>
          <w:bottom w:val="single" w:sz="4" w:space="1" w:color="auto"/>
        </w:pBdr>
        <w:spacing w:after="0" w:line="240" w:lineRule="auto"/>
        <w:ind w:right="4534" w:firstLine="2835"/>
        <w:rPr>
          <w:sz w:val="28"/>
          <w:szCs w:val="28"/>
        </w:rPr>
      </w:pPr>
    </w:p>
    <w:p w:rsidR="00396046" w:rsidRPr="00406E76" w:rsidRDefault="00396046" w:rsidP="00396046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  <w:r w:rsidRPr="00406E76">
        <w:rPr>
          <w:rFonts w:ascii="Times New Roman" w:hAnsi="Times New Roman"/>
          <w:sz w:val="24"/>
          <w:szCs w:val="24"/>
        </w:rPr>
        <w:t xml:space="preserve">от   </w:t>
      </w:r>
      <w:r w:rsidR="00406E76" w:rsidRPr="00406E76">
        <w:rPr>
          <w:rFonts w:ascii="Times New Roman" w:hAnsi="Times New Roman"/>
          <w:sz w:val="24"/>
          <w:szCs w:val="24"/>
        </w:rPr>
        <w:t>28.03</w:t>
      </w:r>
      <w:r w:rsidRPr="00406E76">
        <w:rPr>
          <w:rFonts w:ascii="Times New Roman" w:hAnsi="Times New Roman"/>
          <w:sz w:val="24"/>
          <w:szCs w:val="24"/>
        </w:rPr>
        <w:t xml:space="preserve">.2025 г.                    </w:t>
      </w:r>
      <w:proofErr w:type="gramStart"/>
      <w:r w:rsidRPr="00406E76">
        <w:rPr>
          <w:rFonts w:ascii="Times New Roman" w:hAnsi="Times New Roman"/>
          <w:sz w:val="24"/>
          <w:szCs w:val="24"/>
        </w:rPr>
        <w:t xml:space="preserve">№  </w:t>
      </w:r>
      <w:r w:rsidR="00406E76" w:rsidRPr="00406E76">
        <w:rPr>
          <w:rFonts w:ascii="Times New Roman" w:hAnsi="Times New Roman"/>
          <w:sz w:val="24"/>
          <w:szCs w:val="24"/>
        </w:rPr>
        <w:t>29</w:t>
      </w:r>
      <w:r w:rsidR="00DC30D1">
        <w:rPr>
          <w:rFonts w:ascii="Times New Roman" w:hAnsi="Times New Roman"/>
          <w:sz w:val="24"/>
          <w:szCs w:val="24"/>
        </w:rPr>
        <w:t>8</w:t>
      </w:r>
      <w:proofErr w:type="gramEnd"/>
      <w:r w:rsidRPr="00406E76">
        <w:rPr>
          <w:rFonts w:ascii="Times New Roman" w:hAnsi="Times New Roman"/>
          <w:sz w:val="24"/>
          <w:szCs w:val="24"/>
        </w:rPr>
        <w:t xml:space="preserve"> </w:t>
      </w:r>
    </w:p>
    <w:p w:rsidR="00396046" w:rsidRPr="00406E76" w:rsidRDefault="00396046" w:rsidP="0039604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06E76">
        <w:rPr>
          <w:rFonts w:ascii="Times New Roman" w:hAnsi="Times New Roman" w:cs="Times New Roman"/>
          <w:b w:val="0"/>
          <w:sz w:val="24"/>
          <w:szCs w:val="24"/>
        </w:rPr>
        <w:t>с. Воронцовка</w:t>
      </w:r>
    </w:p>
    <w:p w:rsidR="00EF6327" w:rsidRDefault="00EF6327" w:rsidP="00EF632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Об утверждении Положения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 молодёжной политике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 xml:space="preserve">в </w:t>
      </w:r>
      <w:proofErr w:type="spellStart"/>
      <w:r w:rsidR="00396046">
        <w:rPr>
          <w:rStyle w:val="a4"/>
          <w:b w:val="0"/>
          <w:color w:val="000000"/>
          <w:sz w:val="26"/>
          <w:szCs w:val="26"/>
        </w:rPr>
        <w:t>Воронцовском</w:t>
      </w:r>
      <w:proofErr w:type="spellEnd"/>
      <w:r w:rsidR="00396046">
        <w:rPr>
          <w:rStyle w:val="a4"/>
          <w:b w:val="0"/>
          <w:color w:val="000000"/>
          <w:sz w:val="26"/>
          <w:szCs w:val="26"/>
        </w:rPr>
        <w:t xml:space="preserve"> сельском поселения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396046">
        <w:rPr>
          <w:color w:val="000000"/>
          <w:sz w:val="26"/>
          <w:szCs w:val="26"/>
        </w:rPr>
        <w:t>Воронцовском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396046">
        <w:rPr>
          <w:color w:val="000000"/>
          <w:sz w:val="26"/>
          <w:szCs w:val="26"/>
        </w:rPr>
        <w:t>Воронцовского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396046">
        <w:rPr>
          <w:color w:val="000000"/>
          <w:sz w:val="26"/>
          <w:szCs w:val="26"/>
        </w:rPr>
        <w:t>Воронцовского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396046">
        <w:rPr>
          <w:color w:val="000000"/>
          <w:sz w:val="26"/>
          <w:szCs w:val="26"/>
        </w:rPr>
        <w:t>Воронцовском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Pr="00E05B2A">
        <w:rPr>
          <w:color w:val="000000"/>
          <w:sz w:val="26"/>
          <w:szCs w:val="26"/>
        </w:rPr>
        <w:t>Воронцовского</w:t>
      </w:r>
      <w:proofErr w:type="spellEnd"/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E05B2A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главу </w:t>
      </w:r>
      <w:proofErr w:type="spellStart"/>
      <w:r w:rsidRPr="00E05B2A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05B2A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Воронежской области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proofErr w:type="spellStart"/>
      <w:r w:rsidRPr="00E05B2A">
        <w:rPr>
          <w:rFonts w:ascii="Times New Roman" w:hAnsi="Times New Roman"/>
          <w:sz w:val="26"/>
          <w:szCs w:val="26"/>
        </w:rPr>
        <w:t>Е.И.Ржевская</w:t>
      </w:r>
      <w:proofErr w:type="spellEnd"/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05B2A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5B2A">
        <w:rPr>
          <w:sz w:val="26"/>
          <w:szCs w:val="26"/>
        </w:rPr>
        <w:t xml:space="preserve">Воронежской области                                                                                   </w:t>
      </w:r>
      <w:proofErr w:type="spellStart"/>
      <w:r w:rsidRPr="00E05B2A">
        <w:rPr>
          <w:sz w:val="26"/>
          <w:szCs w:val="26"/>
        </w:rPr>
        <w:t>Г.Н.Дроздова</w:t>
      </w:r>
      <w:proofErr w:type="spellEnd"/>
    </w:p>
    <w:p w:rsidR="00396046" w:rsidRDefault="0039604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Воронцовского</w:t>
      </w:r>
      <w:proofErr w:type="spellEnd"/>
      <w:r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gramStart"/>
      <w:r w:rsidRPr="00396046">
        <w:rPr>
          <w:color w:val="000000"/>
        </w:rPr>
        <w:t xml:space="preserve">от </w:t>
      </w:r>
      <w:r w:rsidR="00406E76">
        <w:rPr>
          <w:color w:val="000000"/>
        </w:rPr>
        <w:t xml:space="preserve"> 28</w:t>
      </w:r>
      <w:proofErr w:type="gramEnd"/>
      <w:r w:rsidR="00406E76">
        <w:rPr>
          <w:color w:val="000000"/>
        </w:rPr>
        <w:t>.03.</w:t>
      </w:r>
      <w:r w:rsidRPr="00396046">
        <w:rPr>
          <w:color w:val="000000"/>
        </w:rPr>
        <w:t>202</w:t>
      </w:r>
      <w:r w:rsidR="00406E76">
        <w:rPr>
          <w:color w:val="000000"/>
        </w:rPr>
        <w:t>5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  <w:r w:rsidR="00406E76">
        <w:rPr>
          <w:color w:val="000000"/>
        </w:rPr>
        <w:t xml:space="preserve"> 29</w:t>
      </w:r>
      <w:r w:rsidR="00DC30D1">
        <w:rPr>
          <w:color w:val="000000"/>
        </w:rPr>
        <w:t>8</w:t>
      </w:r>
      <w:bookmarkStart w:id="0" w:name="_GoBack"/>
      <w:bookmarkEnd w:id="0"/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B9033D">
        <w:rPr>
          <w:rStyle w:val="a4"/>
          <w:color w:val="000000"/>
          <w:sz w:val="26"/>
          <w:szCs w:val="26"/>
        </w:rPr>
        <w:t>Воронцовском</w:t>
      </w:r>
      <w:proofErr w:type="spellEnd"/>
      <w:r w:rsidR="00B9033D">
        <w:rPr>
          <w:rStyle w:val="a4"/>
          <w:color w:val="000000"/>
          <w:sz w:val="26"/>
          <w:szCs w:val="26"/>
        </w:rPr>
        <w:t xml:space="preserve">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Предмет регулирования</w:t>
      </w:r>
    </w:p>
    <w:p w:rsidR="00406E76" w:rsidRPr="00B9033D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Настоящий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B9033D">
        <w:rPr>
          <w:color w:val="000000"/>
          <w:sz w:val="26"/>
          <w:szCs w:val="26"/>
        </w:rPr>
        <w:t>Воронцовского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B9033D">
        <w:rPr>
          <w:color w:val="000000"/>
          <w:sz w:val="26"/>
          <w:szCs w:val="26"/>
        </w:rPr>
        <w:t>Воронцовского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Основные понятия</w:t>
      </w:r>
    </w:p>
    <w:p w:rsidR="00406E76" w:rsidRPr="00B9033D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 xml:space="preserve"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</w:t>
      </w:r>
      <w:r w:rsidRPr="00396046">
        <w:rPr>
          <w:color w:val="000000"/>
          <w:sz w:val="26"/>
          <w:szCs w:val="26"/>
        </w:rPr>
        <w:lastRenderedPageBreak/>
        <w:t>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Правовая основа регулирования отношений в сфере молодёжной политики</w:t>
      </w:r>
    </w:p>
    <w:p w:rsidR="00406E76" w:rsidRPr="00B9033D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lastRenderedPageBreak/>
        <w:t>Цели молодёжной политики</w:t>
      </w:r>
    </w:p>
    <w:p w:rsidR="00406E76" w:rsidRPr="00B9033D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Принципы молодёжной политики</w:t>
      </w:r>
    </w:p>
    <w:p w:rsidR="00406E76" w:rsidRPr="00B9033D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Основные направления реализации молодёжной политики</w:t>
      </w:r>
    </w:p>
    <w:p w:rsidR="00406E76" w:rsidRPr="00B9033D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2. 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3. 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 xml:space="preserve">Российской Федерации, нормативными правовыми актами органов публичной власти федеральной территории "Сириус" при реализации молодежной </w:t>
      </w:r>
      <w:r w:rsidR="00EF6327" w:rsidRPr="00396046">
        <w:rPr>
          <w:color w:val="000000"/>
          <w:sz w:val="26"/>
          <w:szCs w:val="26"/>
        </w:rPr>
        <w:lastRenderedPageBreak/>
        <w:t>политики, в том числе при установлении мер поддержки отдельным категориям 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обязательств в сфере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Участие молодёжи в реализации молодёжной политики</w:t>
      </w:r>
    </w:p>
    <w:p w:rsidR="00406E76" w:rsidRPr="005C3277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Полномочия органов местного самоуправления в сфере молодёжной политики</w:t>
      </w:r>
    </w:p>
    <w:p w:rsidR="00406E76" w:rsidRPr="005C3277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Информационное обеспечение реализации молодёжной политики</w:t>
      </w:r>
    </w:p>
    <w:p w:rsidR="00406E76" w:rsidRPr="005C3277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2. 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 Информационное обеспечение реализации молодежной политики осуществляется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Мониторинг реализации молодёжной политики</w:t>
      </w:r>
    </w:p>
    <w:p w:rsidR="00406E76" w:rsidRPr="00EE75B7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406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Международное сотрудничество в сфере молодёжной политики</w:t>
      </w:r>
    </w:p>
    <w:p w:rsidR="00406E76" w:rsidRPr="00EE75B7" w:rsidRDefault="00406E76" w:rsidP="00406E76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>
        <w:rPr>
          <w:color w:val="000000"/>
          <w:sz w:val="26"/>
          <w:szCs w:val="26"/>
        </w:rPr>
        <w:t>Воронцовского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EE75B7">
        <w:rPr>
          <w:color w:val="000000"/>
          <w:sz w:val="26"/>
          <w:szCs w:val="26"/>
        </w:rPr>
        <w:t>Воронцовского</w:t>
      </w:r>
      <w:proofErr w:type="spellEnd"/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EA5"/>
    <w:multiLevelType w:val="hybridMultilevel"/>
    <w:tmpl w:val="4E7ED06A"/>
    <w:lvl w:ilvl="0" w:tplc="CB8A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27"/>
    <w:rsid w:val="00396046"/>
    <w:rsid w:val="003C50F6"/>
    <w:rsid w:val="003D2CBE"/>
    <w:rsid w:val="00406E76"/>
    <w:rsid w:val="005C3277"/>
    <w:rsid w:val="00963623"/>
    <w:rsid w:val="00AF6C81"/>
    <w:rsid w:val="00B9033D"/>
    <w:rsid w:val="00DC30D1"/>
    <w:rsid w:val="00E76046"/>
    <w:rsid w:val="00EE75B7"/>
    <w:rsid w:val="00E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AF23"/>
  <w15:docId w15:val="{07BDA3B7-A5B9-46D8-AA44-C19383B2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</cp:revision>
  <cp:lastPrinted>2025-03-26T07:30:00Z</cp:lastPrinted>
  <dcterms:created xsi:type="dcterms:W3CDTF">2025-03-11T07:14:00Z</dcterms:created>
  <dcterms:modified xsi:type="dcterms:W3CDTF">2025-03-26T07:30:00Z</dcterms:modified>
</cp:coreProperties>
</file>